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17747/03 vom 25. Juli 2006</w:t>
      </w:r>
    </w:p>
    <w:p>
      <w:r>
        <w:t>Ecthr Chamber, 2006-07-25, FR</w:t>
      </w:r>
    </w:p>
    <w:p>
      <w:r>
        <w:rPr>
          <w:b/>
        </w:rPr>
        <w:t xml:space="preserve">Quelle: </w:t>
      </w:r>
      <w:r>
        <w:t>https://mcp.opencaselaw.ch/entscheid/ecthr_chamber_17747_03</w:t>
      </w:r>
    </w:p>
    <w:p>
      <w:r>
        <w:t>FR: ECTHR_CHAMBER 17747/03 du 25 juillet 2006</w:t>
      </w:r>
    </w:p>
    <w:p>
      <w:r>
        <w:t>IT: ECTHR_CHAMBER 17747/03 del 25 luglio 2006</w:t>
      </w:r>
    </w:p>
    <w:p>
      <w:pPr>
        <w:pStyle w:val="Heading2"/>
      </w:pPr>
      <w:r>
        <w:t>Regeste</w:t>
      </w:r>
    </w:p>
    <w:p>
      <w:r>
        <w:t>Violation de P1-1;Non-lieu à examiner l'art. 6-1;Dommage matériel - réparation pécuniaire;Préjudice moral - constat de violation suffisant;Remboursement frais et dépens - procédure de la Convention</w:t>
      </w:r>
    </w:p>
    <w:p>
      <w:pPr>
        <w:pStyle w:val="Heading2"/>
      </w:pPr>
      <w:r>
        <w:t>Erwägungen</w:t>
      </w:r>
    </w:p>
    <w:p>
      <w:r>
        <w:rPr>
          <w:b/>
        </w:rPr>
        <w:t>E. 1</w:t>
      </w:r>
    </w:p>
    <w:p>
      <w:r>
        <w:t>II. SUR LA VIOLATION ALLÉGUÉE DE L’ARTICLE 6 § 1 DE LA CONVENTION 18. Le requérant se plaint également que la durée des procédures judiciaires a méconnu l’article 6 § 1 de la Convention. A. Sur la recevabilité 19. La Cour estime que ce grief ne saurait être déclaré manifestement mal fondé, au sens de l’article 35 § 3 de la Convention. Aucun autre motif d’irrecevabilité n’a été relevé. B. Sur le fond 20. Eu égard à la conclusion d’une violation formulée sur le terrain de l’article 1 du Protocole n o 1, la Cour n’estime pas nécessaire d’examiner la question séparément sous l’angle de l’article 6 § 1. III. SUR L’APPLICATION DE L’ARTICLE 41 DE LA CONVENTION 21. 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22. Le requérant affirme devoir être dédommagé pour un préjudice matériel qu’il évalue à 7 500 EUR. Il réclame en outre la réparation d’un dommage moral qu’il chiffre à 5 000 EUR. 23. Le Gouvernement conteste ces prétentions. 24. Considérant le mode de calcul adopté dans l’arrêt Akkuş (précité, p. 1311, §§ 35-36 et 39) et à la lumière des données économiques pertinentes, la Cour accorde 3 500 EUR au requérant à titre de dommage matériel. Quant au préjudice moral, la Cour estime que, dans les circonstances de l’espèce, le constat de violation constitue en soi une satisfaction équitable suffisante. B. Frais et dépens 25. Le requérant demande également 50 EUR pour les frais et dépens encourus devant la Cour. 26. Le Gouvernement s’en remet à la sagesse de la Cour. 27. Compte tenu des éléments en sa possession et de sa jurisprudence en la matière, la Cour estime raisonnable la somme de 50 EUR et l’accorde au requérant. C. Intérêts moratoires 28. 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