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17175/02 vom 29. Juni 2006</w:t>
      </w:r>
    </w:p>
    <w:p>
      <w:r>
        <w:t>Ecthr Chamber, 2006-06-29, FR</w:t>
      </w:r>
    </w:p>
    <w:p>
      <w:r>
        <w:rPr>
          <w:b/>
        </w:rPr>
        <w:t xml:space="preserve">Quelle: </w:t>
      </w:r>
      <w:r>
        <w:t>https://mcp.opencaselaw.ch/entscheid/ecthr_chamber_17175_02</w:t>
      </w:r>
    </w:p>
    <w:p>
      <w:r>
        <w:t>FR: ECTHR_CHAMBER 17175/02 du 29 juin 2006</w:t>
      </w:r>
    </w:p>
    <w:p>
      <w:r>
        <w:t>IT: ECTHR_CHAMBER 17175/02 del 29 giugno 2006</w:t>
      </w:r>
    </w:p>
    <w:p>
      <w:pPr>
        <w:pStyle w:val="Heading2"/>
      </w:pPr>
      <w:r>
        <w:t>Regeste</w:t>
      </w:r>
    </w:p>
    <w:p>
      <w:r>
        <w:t>Violation de l'art. 8 (respect de la vie privée);Violation de l'art. 13;Partiellement irrecevable;Préjudice moral - constat de violation suffisant;Dommage matériel - demande rejetée;Remboursement partiel frais et dépens - procédure de la Convention; Violation: 8;13</w:t>
      </w:r>
    </w:p>
    <w:p>
      <w:pPr>
        <w:pStyle w:val="Heading2"/>
      </w:pPr>
      <w:r>
        <w:t>Erwägungen</w:t>
      </w:r>
    </w:p>
    <w:p>
      <w:r>
        <w:rPr>
          <w:b/>
        </w:rPr>
        <w:t>E. 1</w:t>
      </w:r>
    </w:p>
    <w:p>
      <w:r>
        <w:t>ET 2 DU PROTOCOLE N o</w:t>
      </w:r>
    </w:p>
    <w:p>
      <w:r>
        <w:rPr>
          <w:b/>
        </w:rPr>
        <w:t>E. 4</w:t>
      </w:r>
    </w:p>
    <w:p>
      <w:r>
        <w:t>« 1. Quiconque se trouve régulièrement sur le territoire d’un Etat a le droit d’y circuler librement et d’y choisir librement sa résidence. 2. Toute personne est libre de quitter n’importe quel pays, y compris le sien. 3. L’exercice de ces droits ne peut faire l’objet d’autres restrictions que celles qui, prévues par la loi, constituent des mesures nécessaires, dans une société démocratique, à la sécurité nationale, à la sûreté publique, au maintien de l’ordre public, à la prévention des infractions pénales, à la protection de la santé ou de la morale, ou à la protection des droits et libertés d’autrui. 22. Les requérants soutiennent que les observations du Gouvernement ont été présentées tardivement, contrairement à l’article 38 du règlement de la Cour. 23. La Cour relève avoir fixé au 25 novembre 2004 le délai pour la présentation des observations du Gouvernement et que celui-ci les a envoyées le 24 novembre 2004. 24. Le Gouvernement fait valoir que les requérants auraient pu se plaindre des incapacités prolongées dérivant de leur mise en faillite devant la cour d’appel compétente conformément à la loi Pinto. Il se réfère, entre autres, à l’arrêt de la Cour de cassation n o 362 de 2003. 25. Les requérants observent que la loi Pinto ne constitue pas un moyen de recours efficace pour se plaindre de la durée des incapacités dérivant de la mise en faillite. En tout cas, ils font valoir non seulement avoir épuisé le remède prévu par la loi Pinto mais aussi que les décisions sur les recours en révocation introduits séparément par les requérants et portant sur les mêmes faits ont produit des résultats différents. De plus, les requérants soulignent ne pas pouvoir introduire de pourvoi en cassation, les délais prévus à cet effet ayant expiré. 26. La Cour relève que, dans son arrêt n o 362 de 2003, déposé le 14 janvier 2003, la Cour de cassation a pour la première fois reconnu que le dédommagement moral relatif à la durée des procédures de faillite doit tenir compte, entre autres, de la prolongation des incapacités dérivant du statut de failli. 27. La Cour rappelle avoir retenu que, à partir du 14 juillet 2003, l’arrêt n o 362 de 2003 ne peut plus être ignoré du public et que c’est à compter de cette date qu’il doit être exigé des requérants qu’ils usent de ce recours aux fins de l’article 35 § 1 de la Convention (voir Sgattoni c. Italie , n o 77132/01, § 48, 6 octobre 2005). 28. La Cour observe que les requérants ont introduit séparément des recours conformément à la loi Pinto devant la cour d’appel de Rome. Elle note cependant qu’ils auraient pu se pourvoir en cassation contre les décisions portant sur leurs recours en révocation conformément à l’article 403 du code de procédure civile. Les requérants ayant omis d’épuiser les voies de recours qui leur étaient ouvertes en droit interne, cette partie de la requête doit être rejetée conformément à l’article 35 §§ 1 et 4 de la Convention. II. SUR LA VIOLATION ALLÉGUÉE DE L’ARTICLE 8 DE LA CONVENTION, QUANT AU DROIT AU RESPECT DE LA VIE PRIVÉE 29. Invoquant l’article 8 de la Convention, les requérants se plaignent d’une atteinte à leur droit au respect de la vie privée dans la mesure où, en raison de l’inscription de leur nom dans le registre des faillis, ils ne peuvent exercer aucune activité professionnelle ou commerciale. En outre, ils dénoncent le fait que, selon l’article 143 de la loi sur la faillite, leur réhabilitation, qui met fin à ces incapacités personnelles, ne peut être demandée que cinq ans après la clôture de la procédure de faillite. L’article</w:t>
      </w:r>
    </w:p>
    <w:p>
      <w:r>
        <w:rPr>
          <w:b/>
        </w:rPr>
        <w:t>E. 8</w:t>
      </w:r>
    </w:p>
    <w:p>
      <w:r>
        <w:t>est ainsi libellé : « 1. Toute personne a droit au respect de sa vie privée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A. Sur la recevabilité 30. La Cour constate que le grief n’est pas manifestement mal fondé au sens de l’article 35 § 3 de la Convention. Elle relève par ailleurs que celui-ci ne se heurte à aucun autre motif d’irrecevabilité. Il convient donc de le déclarer recevable. B. Sur le fond 31. La Cour considère que l’ensemble des incapacités dérivant de l’inscription du nom du failli dans le registre entraîne en soi une ingérence dans le droit au respect de la vie privée des requérants qui, compte tenu de la nature automatique de ladite inscription, de l’absence d’une évaluation et d’un contrôle juridictionnels sur l’application des incapacités y relatives ainsi que du laps de temps prévu pour l’obtention de la réhabilitation, n’est pas « nécessaire dans une société démocratique » au sens de l’article 8 § 2 de la Convention. La Cour estime donc qu’il y a eu violation de l’article 8 de la Convention. III. SUR LA VIOLATION ALLÉGUÉE DE L’ARTICLE 13 DE LA CONVENTION 32. Invoquant l’article 13 de la Convention, les requérants se plaignent de ne pas disposer d’un recours effectif pour se plaindre des incapacités patrimoniales et personnelles les touchant pendant toute la procédure de faillite et jusqu’à l’obtention de leur réhabilitation. Cet article est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 33. Quant à la partie du grief concernant la limitation prolongée du droit au respect des biens (article 1 du Protocole n o 1), de la correspondance (article 8 de la Convention) et de la liberté de circulation des requérants (article 2 du Protocole n o 4), la Cour rappelle avoir conclu à l’irrecevabilité de ces griefs. Partant, elle estime que, ne s’agissant pas de griefs « défendables » au regard de la Convention, cette partie de la requête doit être rejetée en tant que manifestement mal fondée selon l’article 35 §§ 3 et 4 de la Convention. 34. Quant à la partie du grief portant sur les incapacités dérivant de l’inscription du nom du failli dans le registre des faillis et perdurant jusqu’à l’obtention de la réhabilitation civile, la Cour constate qu’elle n’est pas manifestement mal fondée au sens de l’article 35 § 3 de la Convention. Elle relève par ailleurs que celle-ci ne se heurte à aucun autre motif d’irrecevabilité. Il convient donc de la déclarer recevable. B. Sur le fond 35. La Cour a déjà traité d’affaires soulevant des questions semblables à celles du cas d’espèce et a constaté la violation de l’article 13 de la Convention (voir Bottaro c. Italie , n o 56298/00, §§ 41-46, 17 juillet 2003). 36. La Cour a examiné la présente affaire et considère que le Gouvernement n’a fourni aucun fait ni argument pouvant mener à une conclusion différente dans le cas présent. Partant, la Cour conclut qu’il y a eu violation de l’article 13 de la Convention. IV. SUR L’APPLICATION DE L’ARTICLE 41 DE LA CONVENTION 37.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38. Les requérants présentent une expertise chiffrant à 88 068 euros (EUR) le préjudice matériel qu’ils auraient subi. Cette somme correspond au salaire minimum ( pensione sociale ) qu’ils auraient reçu à partir de leur déclaration de faillite. Les requérants réclament aussi 300 000 EUR chacun pour le dommage moral qu’ils auraient subi. 39. Le Gouvernement n’a pas fourni d’observations. 40. La Cour n’aperçoit pas de lien de causalité entre les violations constatées et le dommage matériel allégué et rejette la demande. Quant au préjudice moral, elle estime que, eu égard à toutes les circonstances de l’affaire, les constats de violation figurant dans le présent arrêt fournissent par eux-mêmes une satisfaction équitable suffisante. B. Frais et dépens 41. Les requérants demandent également 35 982,88 EUR pour les frais et dépens encourus devant la Cour ainsi que 1 813 EUR pour les frais d’expertise. 42. Le Gouvernement n’a pas fourni d’observations. 43. 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raisonnable la somme de 2 000 EUR au titre des frais et dépens pour la procédure devant la Cour et l’accorde aux requérants. C. Intérêts moratoires 44.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