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15994/20 vom 4. Juni 2026</w:t>
      </w:r>
    </w:p>
    <w:p>
      <w:r>
        <w:t>Ecthr Chamber, 2026-06-04, FR</w:t>
      </w:r>
    </w:p>
    <w:p>
      <w:r>
        <w:rPr>
          <w:b/>
        </w:rPr>
        <w:t xml:space="preserve">Quelle: </w:t>
      </w:r>
      <w:r>
        <w:t>https://mcp.opencaselaw.ch/entscheid/ecthr_chamber_15994_20</w:t>
      </w:r>
    </w:p>
    <w:p>
      <w:r>
        <w:t>FR: ECTHR_CHAMBER 15994/20 du 4 juin 2026</w:t>
      </w:r>
    </w:p>
    <w:p>
      <w:r>
        <w:t>IT: ECTHR_CHAMBER 15994/20 del 4 giugno 2026</w:t>
      </w:r>
    </w:p>
    <w:p>
      <w:pPr>
        <w:pStyle w:val="Heading2"/>
      </w:pPr>
      <w:r>
        <w:t>Regeste</w:t>
      </w:r>
    </w:p>
    <w:p>
      <w:r>
        <w:t>Partiellement irrecevable (Art. 35) Conditions de recevabilité;(Art. 35-1) Épuisement des voies de recours internes;(Art. 35-3-a) Manifestement mal fondé;Violation de l'article 3 - Interdiction de la torture (Article 3 - Traitement dégradant;Traitement inhumain) (Volet matériel);Violation de l'article 5 - Droit à la liberté et à la sûreté (Article 5-1 - Arrestation ou détention régulières);Violation de l'article 5 - Droit à la liberté et à la sûreté (Article 5-4 - Contrôle de la légalité de la détention);Préjudice moral - réparation (Article 41 - Préjudice moral;Satisfaction équitable); Violation: 3;5;5-1;5-4</w:t>
      </w:r>
    </w:p>
    <w:p>
      <w:pPr>
        <w:pStyle w:val="Heading2"/>
      </w:pPr>
      <w:r>
        <w:t>Erwägungen</w:t>
      </w:r>
    </w:p>
    <w:p>
      <w:r>
        <w:rPr>
          <w:b/>
        </w:rPr>
        <w:t>E. 47</w:t>
      </w:r>
    </w:p>
    <w:p>
      <w:r>
        <w:t>‑ 49, série A n o 93), la Cour a estimé que le transfert d’un hôpital psychiatrique à un autre ne constituait qu’un passage d’un mode d’internement psychiatrique à un autre, et qu’il n’était donc pas de nature à modifier le caractère de la privation de liberté. Par conséquent, le maintien du requérant dans un régime de détention plus strict n’était pas contraire à l’article 5 § 1 e) de la Convention. 94. Dans la présente espèce, la Cour note tout d’abord que la requérante n’a pas seulement changé de cellule (comme dans les affaires Stoyan Krastev et Munjaz ) ou de structure (comme dans l’affaire Ashingdane ), mais de type d’institution, passant d’un hôpital psychiatrique à un établissement pénitentiaire. Elle estime donc que la présente affaire s’apparente davantage aux affaires Gouloub Atanasov et Mancini , dans lesquelles les requérants avaient été transférés d’un type de lieu de détention à un autre. 95. Certes, le régime prévu par l’article 148 du CP, en vertu duquel la requérante avait été placée en OPG, était considéré comme une forme d’exécution de la peine (paragraphe 38 ci-dessus) qui constituait une alternative à la détention en prison. Néanmoins, le placement en OPG ne découlait pas, en principe, d’un simple acte de l’administration pénitentiaire visant à répondre à des besoins de soins, mais d’une décision judiciaire attestant que la personne concernée remplissait les conditions requises, notamment qu’elle était atteinte d’une infirmité psychique suffisamment grave pour empêcher sa détention en prison. Si, au contraire, comme l’affirme la requérante, son transfert en prison ne s’est pas fondé sur une décision judiciaire mais sur un simple acte de l’administration, c’est précisément de cela qu’elle se plaint (paragraphe 101 ci-dessus). 96. En outre, la cause de la requérante se distingue des affaires Stoyan Krastev et Munjaz en ceci que son transfert en prison n’était pas temporaire. 97. Enfin, bien que la Cour ne dispose pas d’informations spécifiques sur les libertés résiduelles dont la requérante disposait dans l’OPG, il ressort du dossier que le changement de régime a eu pour elle des conséquences importantes, qui étaient liées notamment aux différences significatives existant entre les deux types d’institution quant aux soins psychiatriques et psychothérapeutiques disponibles. En effet, si l’OPG était structurellement conçu pour l’accueil de détenus atteints de troubles psychiatriques, de sorte qu’il disposait sans doute de ressources plus importantes dans ce domaine, le service psychiatrique de la prison n’était que l’un des services sanitaires nécessaires pour répondre aux besoins de la population carcérale générale. 98. Compte tenu de ce qui précède, la Cour considère que le transfert de la requérante en prison n’a pas constitué une simple modification de ses conditions de détention, mais une privation de liberté supplémentaire, dont la régularité doit être examinée sous l’angle de l’article 5 de la Convention. 99. Constatant que ce grief n’est pas manifestement mal fondé ni irrecevable pour un autre motif visé à l’article 35 de la Convention, la Cour le déclare recevable. Sur le fond Thèses des parties La requérante 100 . La requérante allègue, premièrement, que sa détention en prison n’a pas été ordonnée selon les voies légales. Elle soutient, deuxièmement, que sa détention doit être examinée sous l’angle de l’article 5 § 1 e) de la Convention, estimant à cet égard que le milieu pénitentiaire n’était pas un milieu adapté au traitement de ses troubles psychiatriques et que sa détention n’était donc pas régulière. 101 . Elle affirme que sa détention en prison allait à l’encontre de la décision rendue par le JAP de Mantoue le 9 avril 2014, dans laquelle il ordonnait son placement en OPG en vertu de l’article 148 du CP, et qui n’a jamais été annulée. Elle avance que son transfert en prison a été ordonné par l’administration pénitentiaire sans aucune base légale, par un acte (dont elle n’aurait pas pu obtenir de copie) dont l’application était censée être provisoire, mais est devenue, de fait, définitive. 102. Elle se déclare donc victime d’un vide juridique qui aurait été créé par la fermeture des OPG. Elle soutient que la situation des personnes qui étaient précédemment hospitalisées en vertu de l’article 148 du CP n’est abordée que dans l’accord de la Conférence unifiée de 2015 (paragraphe 35 ci-dessus), qui prévoit que ces personnes doivent être placées en ATSM. Elle dit qu’elle ne l’a cependant jamais été. 103 . En outre, la requérante estime qu’il est en soi problématique que le placement en ATSM des personnes concernées ne soit pas prévu par un acte normatif, mais seulement par un accord de la Conférence unifiée, et qu’aucune précision ne soit donnée quant au lien entre ce placement et la possibilité, introduite par la Cour constitutionnelle, d’obtenir l’assignation à domicile. Selon la requérante, il s’ensuit que les détenus qui, comme elle, sont atteints d’une pathologie psychiatrique restent souvent placés en milieu ordinaire, dans des conditions inadéquates. La requérante relève en outre que, le placement en ATSM est une mesure administrative et qu’il n’est donc soumis à aucun contrôle juridictionnel, bien qu’il fasse entrer en jeu le droit fondamental à la santé. La requérante allègue enfin que le fonctionnement des ATSM n’est pas réglementé, et que ce vide réglementaire concerne, en particulier, le niveau des soins qui doivent y être dispensés et la question de savoir si ces soins doivent être comparables à ceux qu’il est possible de recevoir dans une REMS. 104 . Par ailleurs, la requérante met de nouveau en avant les considérations qu’elle a déjà formulées sous l’angle de l’article 3 de la Convention quant à l’incompatibilité de son état de santé avec la détention en prison et à l’absence de soins adéquats (paragraphes 68-70 ci-dessus). 105. Enfin, la requérante reconnaît qu’à partir de 2022, elle a eu accès à un programme thérapeutique en milieu ouvert et que son état s’est considérablement amélioré, notamment à partir de son transfert à la prison de Milan-Bollate, le 26 octobre 2023. Elle demande donc de constater une violation pour la période allant du 22 mai 2015 au 26 octobre 2023. Le Gouvernement 106. Le Gouvernement conteste les allégations de la requérante, affirmant que sa détention était conforme à la loi. Il affirme que l’article 148 du CP a été implicitement abrogé du fait de la fermeture des OPG, après la décision du JAP de Mantoue du 9 avril 2014. Il dit que l’ordre juridique prévoit maintenant que les personnes atteintes de pathologies psychiatriques doivent demeurer en prison, éventuellement dans une section spécialisée. Il en conclut que le transfert de la requérante était conforme à la législation en vigueur. 107. Le Gouvernement note, en particulier, que les personnes condamnées ne pouvaient pas être transférées dans les REMS, qui sont destinées uniquement à l’application de mesures de sûreté, et qu’elles n’avaient pas accès à des mesures alternatives. Il déclare que ce vide a été comblé par l’arrêt n o 99/2019 de la Cour constitutionnelle, à la suite duquel il était possible de demander l’assignation à domicile en cas de grave pathologie psychiatrique. Il relève que la requérante ne s’est toutefois pas prévalue de ce remède. 108. Le Gouvernement réaffirme également qu’en prison, la requérante a reçu des soins adéquats, comme démontré par l’amélioration de son état. Appréciation de la Cour 109. Toute privation de liberté doit non seulement relever de l’une des exceptions énoncées aux alinéas a) à f) de l’article 5 § 1 mais aussi être « régulière ». En matière de « régularité » d’une détention, y compris l’observation des « voies légales », la Convention renvoie pour l’essentiel à la législation nationale et consacre l’obligation d’en observer les normes de fond comme de procédure ( Denis et Irvine c. Belgique [GC], n os 62819/17 et 63921/17, § 125, 1 er juin 2021). 110. En exigeant que toute privation de liberté soit effectuée « selon les voies légales », l’article 5 § 1 impose en premier lieu que toute arrestation ou détention ait une base légale en droit interne. Toutefois, ces termes ne se bornent pas à renvoyer au droit interne. Ils concernent aussi la qualité de la loi ; ils la veulent compatible avec la prééminence du droit, notion inhérente à l’ensemble des articles de la Convention. Sur ce dernier point, la Cour souligne qu’en matière de privation de liberté, il est particulièrement important de satisfaire au principe général de la sécurité juridique. Par conséquent, il est essentiel que le droit interne définisse clairement les conditions dans lesquelles une personne peut être privée de liberté et que la loi elle-même soit prévisible dans son application, de façon à remplir le critère de « légalité » fixé par la Convention, en vertu duquel une loi doit être suffisamment précise pour permettre au justiciable – en s’entourant au besoin de conseils éclairés – de prévoir, à un degré raisonnable dans les circonstances de la cause, les conséquences de nature à dériver d’un acte déterminé ( Khlaifia et autres c. Italie [GC], n o 16483/12, §§ 91 ‑ 92, 15 décembre 2016, Del Río Prada c. Espagne [GC], n o 42750/09, § 125, CEDH 2013, et Denis et Irvine , précité, § 128). 111. Il incombe au premier chef aux autorités nationales, et notamment aux tribunaux, d’interpréter et d’appliquer le droit interne. Cela étant, dès lors qu’au regard de l’article 5 § 1 l’inobservation du droit interne emporte violation de la Convention, la Cour peut et doit vérifier si le droit interne a bien été respecté ( Mooren c. Allemagne [GC], n o 11364/03, § 73, 9 juillet 2009). En particulier, il est essentiel, en matière de privation de liberté, que le droit interne définisse clairement les conditions de détention et que la loi soit prévisible dans son application ( Creangă c. Roumanie [GC], n o 29226/03, § 101, 23 février 2012). 112. En l’espèce, l’internement de la requérante en OPG se fondait, pendant la dernière période précédant son transfert en prison, sur la décision du JAP de Mantoue du 9 avril 2014, qui avait imposé cette mesure en vertu de l’article 148 du CP. 113. Malgré le fait que cette décision du JAP de Mantoue n’a jamais été révoquée ni abrogée, l’administration pénitentiaire a ordonné le transfert de la requérante en prison. La requérante, tout en restant soumise au régime de l’article 148 du CP, qui s’appliquait à des personnes atteintes de troubles psychiques jugés incompatibles avec la détention en prison, s’est retrouvée de fait en prison. Cette situation était donc contraire au droit interne en vigueur à l’époque, ainsi qu’à la décision du JAP de Mantoue. 114. La Cour note que, comme l’a également constaté la Cour constitutionnelle, cette situation découlait de la fermeture des OPG et de leur remplacement, pour certaines fonctions, par les REMS. Les REMS n’étant pas destinées à accueillir les détenus soumis au régime prévu par l’article 148 du CP (paragraphe 39 ci-dessus), ceux-ci se retrouvaient dans une situation de vide juridique (paragraphe 41 ci-dessus). 115. La Cour prend note de l’objectif consistant à faire retourner en prison les personnes internées en OPG qui avaient développé des troubles psychiatriques pendant l’exécution d’une peine de détention, ainsi que les dispositions relatives à la création des ATSM, qui étaient destinées à accueillir ces détenus (paragraphes 33-35 ci-dessus). Elle note cependant que l’annexe à l’accord conclu par la Conférence unifiée, invoqué par le Gouvernement comme base légale pour la détention de la requérante, fait partie d’un acte de programmation et de coordination entre les autorités concernées (paragraphe</w:t>
      </w:r>
    </w:p>
    <w:p>
      <w:r>
        <w:rPr>
          <w:b/>
        </w:rPr>
        <w:t>E. 48</w:t>
      </w:r>
    </w:p>
    <w:p>
      <w:r>
        <w:t>ci-dessus), et non un acte législatif qui pouvait entraîner la modification des dispositions du CP. 116. La stratégie du Gouvernement consistant à remplacer, pour les personnes soumises au régime de l’article 148 du CP, l’internement en OPG par le placement en ATSM n’a donc pas été mise en œuvre dans le cadre d’une réforme cohérente des dispositions en vigueur visant à assurer un cadre normatif clair et prévisible aux justiciables. Les détenus concernés sont donc retournés en prison faute d’alternative, et se sont retrouvés dans une situation d’incertitude à laquelle il n’a pas été remédié à ce jour. 117. Cette situation a d’ailleurs été critiquée par la Cour constitutionnelle, qui a constaté la situation de vide juridique dans laquelle se trouvaient les détenus soumis au régime de l’article 148 du CP et qui a sollicité une intervention du législateur (paragraphe 41 ci-dessus), laquelle ne semble pas avoir eu lieu à ce jour. Elle a également été critiquée dans le rapport de 2019 du Comité national de bioéthique et par plusieurs rapports de l’association Antigone, qui ont constaté l’absence de réglementation claire et de base normative adéquate pour le placement en ATSM des détenus soumis au régime prévu par l’article 148 du CP (paragraphes 44-45 ci-dessus). En outre, à la suite de sa visite périodique de 2022, le CPT a également constaté que les personnes précédemment internées en OPG étaient détenues en prison faute d’alternative, engageant les autorités à s’attaquer à ce problème (paragraphe 52 ci-dessus). 118. En tout état de cause, même à supposer que l’accord de la Conférence unifiée constitue une base légale adéquate pour le remplacement de l’internement en OPG par la détention en prison avec placement en ATSM, la Cour note que la requérante n’a jamais été placée dans une ATSM. Par conséquent, sans se pencher sur la question de savoir si un tel placement était préférable, du point de vue des soins disponibles, au maintien de la requérante en milieu ordinaire, la Cour ne peut que constater que la mise en place de ce service n’a pas permis de remédier à l’irrégularité de sa détention en l’espèce. 119. Compte tenu des considérations qui précèdent, la Cour estime qu’il n’est pas nécessaire d’examiner la deuxième partie du grief de la requérante (paragraphes 100 et 104 ci-dessus), concernant la régularité de la détention aux fins de l’article 5 § 1 (e). 120. Partant, il y a eu violation de l’article 5 § 1 de la Convention. SUR LA VIOLATION ALLÉGUÉE DE L’ARTICLE 5 § 4 et de l’article 13 combinÉ avec l’article 3 DE LA CONVENTION 121 . La requérante se plaint, sur le terrain de l’article 5 § 4 de la Convention, de l’absence d’un remède effectif pour dénoncer l’illégalité de sa détention. Elle se plaint également, sur le terrain de l’article 13 de la Convention combiné avec l’article 3, de l’impossibilité de dénoncer les mauvais traitements qu’elle allègue avoir subis. Les dispositions en question sont ainsi libellées : Article 5 § 4 « Toute personne privée de sa liberté par arrestation ou détention a le droit d’introduire un recours devant un tribunal, afin qu’il statue à bref délai sur la légalité de sa détention et ordonne sa libération si la détention est illégale.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122. Quant au grief tiré de l’article 13 combiné avec l’article 3 de la Convention, la Cour l’a déclaré irrecevable pour la période postérieure à la publication de l’arrêt de la Cour constitutionnelle n o 99/2019 (paragraphe 65 ci-dessus). 123. Constatant que, pour le reste, ces griefs ne sont pas manifestement mal fondés ni irrecevables pour un autre motif visé à l’article 35 de la Convention, la Cour les déclare recevables. 124. En outre, elle a déjà constaté que la requérante ne disposait d’aucun remède permettant de faire examiner la légalité de sa détention en prison (paragraphe 56 ci-dessus) ni d’aucun remède préventif ou compensatoire relativement à la compatibilité de ses troubles psychiatriques avec la détention (paragraphe 63 ci-dessus). 125. Partant, elle conclut qu’il y a eu violation de l’article 5 § 4 et l’article 13 combiné avec l’article 3 de la Convention. SUR L’APPLICATION DE L’ARTICLE 41 DE LA CONVENTION 126.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127. La requérante demande 150 000 euros (EUR) au titre du dommage moral qu’elle estime avoir subi. En outre, elle demande à la Cour d’ordonner l’adoption de mesures pour faire face au problème structurel dont découlent ces violations. 128. Le Gouvernement considère que la requérante n’a pas prouvé qu’elle avait subi un dommage moral, et qu’un éventuel constat de violation constituerait une réparation suffisante, étant donné qu’elle a bénéficié d’un programme thérapeutique et de resocialisation et que son état s’est amélioré ; il estime, en tout cas, que la somme demandée est excessive. 129. La Cour estime que la requérante a subi un préjudice moral certain à raison de sa prise en charge inadéquate durant la période indiquée au paragraphe 67 et de l’irrégularité de sa détention. Elle lui octroie 15 000 EUR pour dommage moral, plus tout montant pouvant être dû sur cette somme à titre d’impôt. Frais et dépens 130. La requérante réclame 20 000 EUR au titre des frais et dépens qu’elle a engagés dans le cadre de la procédure menée devant la Cour. Elle demande que la somme accordée à ce titre soit payée directement à ses représentantes. 131. Le Gouvernement s’oppose à cette demande. 132.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juge raisonnable d’allouer à la requérante la somme de 10 000 EUR pour la procédure menée devant elle, plus tout montant pouvant être dû sur cette somme par la requérante à titre d’impôt. Cette somme est à verser directement sur le compte bancaire de ses représentantes ( Khlaifia et autres , précité, § 288).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