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15483/02 vom 29. Juni 2006</w:t>
      </w:r>
    </w:p>
    <w:p>
      <w:r>
        <w:t>Ecthr Chamber, 2006-06-29, FR</w:t>
      </w:r>
    </w:p>
    <w:p>
      <w:r>
        <w:rPr>
          <w:b/>
        </w:rPr>
        <w:t xml:space="preserve">Quelle: </w:t>
      </w:r>
      <w:r>
        <w:t>https://mcp.opencaselaw.ch/entscheid/ecthr_chamber_15483_02</w:t>
      </w:r>
    </w:p>
    <w:p>
      <w:r>
        <w:t>FR: ECTHR_CHAMBER 15483/02 du 29 juin 2006</w:t>
      </w:r>
    </w:p>
    <w:p>
      <w:r>
        <w:t>IT: ECTHR_CHAMBER 15483/02 del 29 giugno 2006</w:t>
      </w:r>
    </w:p>
    <w:p>
      <w:pPr>
        <w:pStyle w:val="Heading2"/>
      </w:pPr>
      <w:r>
        <w:t>Regeste</w:t>
      </w:r>
    </w:p>
    <w:p>
      <w:r>
        <w:t>Violation de l'art. 6-1;Violation de P1-1;Préjudice moral - réparation pécuniaire;Dommage matériel - demande rejetée;Remboursement partiel frais et dépens - procédure de la Convention; Violation: 6;6-1</w:t>
      </w:r>
    </w:p>
    <w:p>
      <w:pPr>
        <w:pStyle w:val="Heading2"/>
      </w:pPr>
      <w:r>
        <w:t>Erwägungen</w:t>
      </w:r>
    </w:p>
    <w:p>
      <w:r>
        <w:rPr>
          <w:b/>
        </w:rPr>
        <w:t>E. 1</w:t>
      </w:r>
    </w:p>
    <w:p>
      <w:r>
        <w:t>et de l’article 6 § 1 de la Convention. II. SUR L’APPLICATION DE L’ARTICLE 41 DE LA CONVENTION 20.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matériel 21. Le requérant réclame la réparation du préjudice matériel subi et le chiffre de la manière suivante : entre 89 303 400 lires italiennes (ITL) [46 121,36 euros (EUR)] et 44 651 700 ITL [23 060,68 EUR], plus les intérêts légaux, sommes correspondant au triple ou au double du loyer qu’il percevait entre 1992 et 2001, plus les intérêts légaux, car à partir du mois d’octobre 2001 le locataire a payé un loyer trois fois supérieur au précédent. 22. Le Gouvernement considère que les sommes demandées sont excessives. Il observe notamment que, depuis 1992, les propriétaires pouvaient demander aux locataires la conclusion d’un nouveau contrat de location à des conditions certainement plus avantageuses. Partant, dans la mesure où le requérant a négligé de demander l’augmentation du loyer ou la conclusion d’un nouveau contrat plus avantageux depuis 1992, la perte subie ne peut pas être mise à la charge de l’Etat. 23. La Cour observe tout d’abord que le Gouvernement n’avance aucun argument au sujet de la possibilité qui semble avoir été développée dans la jurisprudence de la Cour de cassation d’engager une procédure en dommages intérêts à l’encontre de l’Etat suite à l’absence, non justifiée, d’assistance de la force publique (voir Mascolo précité, §§ 34-44, et Lo Tufo précité, §§ 37-48). 24. La Cour note que le requérant pouvait saisir les juridictions civiles au sens de l’article 1591 du code civil en introduisant une demande en réparation contre son locataire afin d’obtenir le remboursement du préjudice subi pour la période précédente à la signature d’un nouveau bail. 25. En effet, il s’agit en l’espèce de dommages qui découlent du comportement illégal du locataire, qui, indépendamment de la coopération de l’Etat dans la mise en exécution de la décision judiciaire d’expulsion, se devait de restituer l’appartement au propriétaire. La violation du droit du requérant au respect de son bien est avant tout la conséquence du comportement illégal de son locataire. La violation de l’article 6 de la Convention par l’Etat est d’ordre procédural et postérieure à la conduite du locataire. 26. La Cour constate par conséquent que le droit interne italien permet d’effacer les conséquences matérielles de la violation et estime qu’il y a lieu de rejeter la demande de satisfaction équitable en ce qui concerne le dommage matériel (voir, mutatis mutandis , Mascolo précité, § 55, Lo Tufo précité, § 69, et Mazzei c. Italie , §§ 24-26, 6 avril 2006). B. Dommage moral 27. Le requérant demande 15 000 EUR à titre de dommage moral. 28. Le Gouvernement considère que le montant réclamé est excessif, soit pour la période à prendre en considération, soit à la lumière des sommes normalement accordées par la Cour. 29. La Cour estime que le requérant a subi un tort moral certain ; elle décide par conséquent, statuant en équité comme le veut l’article 41 de la Convention, de lui accorder 3 000 EUR à ce titre. C. Frais et dépens 30. Le requérant demande également 5 000 EUR pour les frais et dépens encourus devant la Cour. 31. Le Gouvernement s’en remet à la sagesse de la Cour. 32. Compte tenu des éléments en sa possession et de la jurisprudence en la matière, la Cour estime raisonnable la somme de 2 000 EUR pour la procédure devant la Cour. D. Intérêts moratoires 33.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