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14387/03 vom 23. April 2009</w:t>
      </w:r>
    </w:p>
    <w:p>
      <w:r>
        <w:t>Ecthr Chamber, 2009-04-23, FR</w:t>
      </w:r>
    </w:p>
    <w:p>
      <w:r>
        <w:rPr>
          <w:b/>
        </w:rPr>
        <w:t xml:space="preserve">Quelle: </w:t>
      </w:r>
      <w:r>
        <w:t>https://mcp.opencaselaw.ch/entscheid/ecthr_chamber_14387_03</w:t>
      </w:r>
    </w:p>
    <w:p>
      <w:r>
        <w:t>FR: ECTHR_CHAMBER 14387/03 du 23 avril 2009</w:t>
      </w:r>
    </w:p>
    <w:p>
      <w:r>
        <w:t>IT: ECTHR_CHAMBER 14387/03 del 23 aprile 2009</w:t>
      </w:r>
    </w:p>
    <w:p>
      <w:pPr>
        <w:pStyle w:val="Heading2"/>
      </w:pPr>
      <w:r>
        <w:t>Regeste</w:t>
      </w:r>
    </w:p>
    <w:p>
      <w:r>
        <w:t>Violation de l'article 6 - Droit à un procès équitable;Violation de l'article 5 - Droit à la liberté et à la sûreté; Violation: 5;6</w:t>
      </w:r>
    </w:p>
    <w:p>
      <w:pPr>
        <w:pStyle w:val="Heading2"/>
      </w:pPr>
      <w:r>
        <w:t>Erwägungen</w:t>
      </w:r>
    </w:p>
    <w:p>
      <w:r>
        <w:rPr>
          <w:b/>
        </w:rPr>
        <w:t>E. 26</w:t>
      </w:r>
    </w:p>
    <w:p>
      <w:r>
        <w:t>Le requérant allègue que la durée de sa détention a été excessive au regard de l’article 5 § 3 de la Convention, ainsi libellé dans sa partie pertinente : «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w:t>
      </w:r>
    </w:p>
    <w:p>
      <w:r>
        <w:rPr>
          <w:b/>
        </w:rPr>
        <w:t>E. 27</w:t>
      </w:r>
    </w:p>
    <w:p>
      <w:r>
        <w:t>Le Gouvernement s’oppose à cette thèse. Il fait valoir qu’il y avait en effet des raisons plausibles de soupçonner le requérant de la commission d’un meurtre. Le Gouvernement soutient encore que les tribunaux ont exposé des motifs pertinents et convaincants pour maintenir le requérant en détention et que les autorités ont mené l’enquête pénale avec la célérité requise.</w:t>
      </w:r>
    </w:p>
    <w:p>
      <w:r>
        <w:rPr>
          <w:b/>
        </w:rPr>
        <w:t>E. 28</w:t>
      </w:r>
    </w:p>
    <w:p>
      <w:r>
        <w:t>Le requérant répond que le seul motif invoqué par les tribunaux, à savoir la gravité des faits qu’on lui reprochait, n’était pas suffisant pour justifier sa détention qui a duré plus de cinq ans et demi. Il allègue que les poursuites pénales à son encontre ont été indûment retardées par les autorités. A. Sur la recevabilité</w:t>
      </w:r>
    </w:p>
    <w:p>
      <w:r>
        <w:rPr>
          <w:b/>
        </w:rPr>
        <w:t>E. 29</w:t>
      </w:r>
    </w:p>
    <w:p>
      <w:r>
        <w:t>La Cour constate que ce grief n’est pas manifestement mal fondé au sens de l’article 35 § 3 de la Convention. La Cour relève par ailleurs qu’il ne se heurte à aucun autre motif d’irrecevabilité. Il convient donc de le déclarer recevable. B. Sur le fond</w:t>
      </w:r>
    </w:p>
    <w:p>
      <w:r>
        <w:rPr>
          <w:b/>
        </w:rPr>
        <w:t>E. 30</w:t>
      </w:r>
    </w:p>
    <w:p>
      <w:r>
        <w:t>Le Cour observe que le requérant a été détenu du 29 mai 1998 au 22 décembre 2003 (voir paragraphes 15 et 24 ci-dessus). Sa détention a donc duré presque cinq ans et sept mois.</w:t>
      </w:r>
    </w:p>
    <w:p>
      <w:r>
        <w:rPr>
          <w:b/>
        </w:rPr>
        <w:t>E. 31</w:t>
      </w:r>
    </w:p>
    <w:p>
      <w:r>
        <w:t>La Cour rappelle sa jurisprudence constante selon laquelle la persistance de raisons plausibles de soupçonner la personne arrêtée d’avoir commis une infraction est une condition sine qua non de la régularité du maintien en détention, mais qu’au bout d’un certain temps elle ne suffit plus. La Cour doit alors établir si les autres motifs adoptés par les autorités judiciaires continuent à légitimer la privation de liberté. Quand ils se révèlent « pertinents » et « suffisants », elle cherche de surcroît si les autorités nationales compétentes ont apporté une « diligence particulière » à la poursuite de la procédure ( Kudła c. Pologne [GC], n o 30210/96, § 111, CEDH 2000 ‑ XI ; Hamanov c. Bulgarie , n o 44062/98, § 68, 8 avril 2004).</w:t>
      </w:r>
    </w:p>
    <w:p>
      <w:r>
        <w:rPr>
          <w:b/>
        </w:rPr>
        <w:t>E. 32</w:t>
      </w:r>
    </w:p>
    <w:p>
      <w:r>
        <w:t>Se tournant vers le cas d’espèce, la Cour observe que l’existence de raisons plausibles de soupçonner le requérant de la commission d’un meurtre n’est pas disputée par les parties (voir paragraphes 27 et 28 ci ‑ dessus). Elle estime que les parties s’accordent sur l’existence de cette première condition pour la régularité de la détention du requérant et elle ne voit pas de raison d’arriver à une conclusion différente à cet égard.</w:t>
      </w:r>
    </w:p>
    <w:p>
      <w:r>
        <w:rPr>
          <w:b/>
        </w:rPr>
        <w:t>E. 33</w:t>
      </w:r>
    </w:p>
    <w:p>
      <w:r>
        <w:t>La Cour rappelle ensuite que c’est essentiellement sur la base des motifs figurant dans les décisions des juridictions internes, ainsi des faits non controversés indiqués par l’intéressé dans ses recours, qu’elle doit apprécier s’il y a eu ou non violation de l’article 5 § 3 de la Convention (voir Labita c. Italie [GC], n o 26772/95, § 152, CEDH 2000 ‑ IV). Elle observe que la décision du juge rapporteur du tribunal de la ville de Sofia en date du 8 juin 2000 ne mentionnait aucun motif précis pour prolonger la détention du requérant (voir paragraphe 16 ci-dessus). Quant aux autres décisions des tribunaux, celles-ci se référaient systématiquement à la gravité des faits reprochés à l’intéressé pour conclure à la persistance d’un danger de soustraction à la justice ou de commission de nouvelles infractions (voir paragraphes 17 à 23 ci-dessus). Or si cet argument n’est pas dépourvu de toute pertinence pour l’appréciation de la dangerosité du détenu, il n’est pas en mesure à lui seul de justifier des périodes de détention relativement longues comme celle en l’espèce (voir Ječius c. Lituanie , n o 34578/97, § 94, CEDH 2000 ‑ IX et Ilijkov précité, § 81).</w:t>
      </w:r>
    </w:p>
    <w:p>
      <w:r>
        <w:rPr>
          <w:b/>
        </w:rPr>
        <w:t>E. 34</w:t>
      </w:r>
    </w:p>
    <w:p>
      <w:r>
        <w:t>Les tribunaux ont mentionné par ailleurs l’appartenance du requérant à une organisation de malfaiteurs et le fait qu’il était toxicomane. Si la Cour admet que ces faits peuvent revêtir une certaine pertinence pour l’appréciation du risque de commettre de nouvelles infractions ou de se soustraire de la justice, elle observe que ces deux arguments ont été invoqués uniquement dans deux décisions de la cour d’appel datant de 2001 (voir paragraphes 19 et 21 ci-dessus). Ceux-ci n’ont pas été repris dans les décisions rendues en décembre 2002 et en janvier 2003 qui ne reposaient, encore une fois, que sur l’argument que l’intéressé était inculpé d’infractions pénales graves (voir paragraphe 23 ci-dessus).</w:t>
      </w:r>
    </w:p>
    <w:p>
      <w:r>
        <w:rPr>
          <w:b/>
        </w:rPr>
        <w:t>E. 35</w:t>
      </w:r>
    </w:p>
    <w:p>
      <w:r>
        <w:t>En conclusion, au vu des faits de l’espèce, la Cour estime que les autorités n’ont pas justifié la détention du requérant pour plus de cinq ans et demi par des arguments « pertinents » et « suffisants ». Dans ces circonstances, elle n’estime pas nécessaire de se prononcer sur le point de savoir si l’enquête pénale a été menée avec la « diligence particulière » requise.</w:t>
      </w:r>
    </w:p>
    <w:p>
      <w:r>
        <w:rPr>
          <w:b/>
        </w:rPr>
        <w:t>E. 36</w:t>
      </w:r>
    </w:p>
    <w:p>
      <w:r>
        <w:t>Il y a donc eu violation de l’article 5 § 3 de la Convention. II. SUR LA VIOLATION ALLÉGUÉE DE L’ARTICLE 5 § 4 DE LA CONVENTION</w:t>
      </w:r>
    </w:p>
    <w:p>
      <w:r>
        <w:rPr>
          <w:b/>
        </w:rPr>
        <w:t>E. 37</w:t>
      </w:r>
    </w:p>
    <w:p>
      <w:r>
        <w:t>Le requérant allègue qu’il n’a pas disposé de recours efficaces pour contester la régularité de sa détention. Il invoque l’article 5 § 4 de la Convention, libellé ainsi dans sa partie pertinente : « Toute personne privée de sa liberté par arrestation ou détention a le droit d’introduire un recours devant un tribunal, afin qu’il statue (...) sur la légalité de sa détention et ordonne sa libération si la détention est illégale. »</w:t>
      </w:r>
    </w:p>
    <w:p>
      <w:r>
        <w:rPr>
          <w:b/>
        </w:rPr>
        <w:t>E. 38</w:t>
      </w:r>
    </w:p>
    <w:p>
      <w:r>
        <w:t>Le Gouvernement conteste cette thèse et expose que les tribunaux internes ont examiné tous les aspects de la légalité de la détention du requérant. Toutes leurs décisions étaient bien motivées. Par ailleurs, la législation interne pertinente avait été modifiée après le 1 er janvier 2000 de façon à assurer l’égalité entre la personne détenue et le procureur en tant que parties à la procédure d’examen de la régularité de la détention.</w:t>
      </w:r>
    </w:p>
    <w:p>
      <w:r>
        <w:rPr>
          <w:b/>
        </w:rPr>
        <w:t>E. 39</w:t>
      </w:r>
    </w:p>
    <w:p>
      <w:r>
        <w:t>Le requérant, de sa part, fait remarquer que plusieurs de ses demandes de libération ont été examinées sans audience. Il allègue que l’étendue du contrôle exercé par les tribunaux a été limitée : ils n’ont pas pris en compte ses arguments et n’ont pas examiné la question de savoir s’il existait des raisons plausibles de le soupçonner de la commission d’une infraction pénale. A. Sur la recevabilité</w:t>
      </w:r>
    </w:p>
    <w:p>
      <w:r>
        <w:rPr>
          <w:b/>
        </w:rPr>
        <w:t>E. 40</w:t>
      </w:r>
    </w:p>
    <w:p>
      <w:r>
        <w:t>La Cour observe d’emblée que la décision du 9 décembre 2003 a amené à la libération du requérant et que par conséquent, le grief tiré de l’article 5 § 4 concernant ce recours est manifestement mal fondé.</w:t>
      </w:r>
    </w:p>
    <w:p>
      <w:r>
        <w:rPr>
          <w:b/>
        </w:rPr>
        <w:t>E. 41</w:t>
      </w:r>
    </w:p>
    <w:p>
      <w:r>
        <w:t>La Cour rappelle ensuite qu’en vertu de l’article 35 § 1 de la Convention, elle ne peut être saisie que dans un délai de six mois suivant la décision interne définitive. Elle observe que le requérant a introduit sa requête le 21 avril 2003. Ainsi, en application de la règle susmentionnée, la Cour estime que le grief tiré de l’article 5 § 4 est irrecevable pour dépassement du délai de six mois en ce qui concerne les procédures d’examen de la régularité de la détention qui se sont achevées avant le 21 octobre 2002.</w:t>
      </w:r>
    </w:p>
    <w:p>
      <w:r>
        <w:rPr>
          <w:b/>
        </w:rPr>
        <w:t>E. 42</w:t>
      </w:r>
    </w:p>
    <w:p>
      <w:r>
        <w:t>En ce qui concerne les décisions rendues le 20 décembre 2002 et le 15 janvier 2003, la Cour constate que le grief tiré de l’article 5 § 4 n’est pas manifestement mal fondé. La Cour relève par ailleurs que, dans cette partie, le grief en cause ne se heurte à aucun autre motif d’irrecevabilité.</w:t>
      </w:r>
    </w:p>
    <w:p>
      <w:r>
        <w:rPr>
          <w:b/>
        </w:rPr>
        <w:t>E. 43</w:t>
      </w:r>
    </w:p>
    <w:p>
      <w:r>
        <w:t>Il convient donc de déclarer ce grief recevable en ce qui concerne les décisions du 20 décembre 2002 et du 15 janvier 2003 et irrecevable pour toutes les autres décisions rendues sur la régularité de la détention du requérant. B. Sur le fond</w:t>
      </w:r>
    </w:p>
    <w:p>
      <w:r>
        <w:rPr>
          <w:b/>
        </w:rPr>
        <w:t>E. 44</w:t>
      </w:r>
    </w:p>
    <w:p>
      <w:r>
        <w:t>La Cour rappelle que l’article 5 § 4 exige des tribunaux saisis d’une demande de libération, entre autres, d’examiner la question de savoir s’il existe des raisons plausibles de soupçonner le détenu de la commission d’une infraction pénale ( Grauslys c. Lituanie , n o 36743/97, § 53, 10 octobre 2000). Elle a déjà eu l’occasion par le passé de constater l’inobservation de cette exigence par les tribunaux bulgares en raison de la jurisprudence interne qui interdisaient aux juges de se livrer à une analyse des preuves recueillies lorsqu’ils étaient saisis d’une demande de libération après le renvoi de la personne concernée en jugement (voir Nikolova c. Bulgarie [GC], n o 31195/96, §§ 59 et 61, CEDH 1999 ‑ II; Ilijkov c. Bulgarie , n o 33977/96, §§ 95 à 99, 26 juillet 2001).</w:t>
      </w:r>
    </w:p>
    <w:p>
      <w:r>
        <w:rPr>
          <w:b/>
        </w:rPr>
        <w:t>E. 45</w:t>
      </w:r>
    </w:p>
    <w:p>
      <w:r>
        <w:t>La Cour constate le même défaut de la procédure de contrôle de la légalité de la détention dans la présente affaire. Les tribunaux n’ont fait que constater le fait que l’intéressé était inculpé d’infractions pénales graves sans se livrer à une analyse des preuves recueillies afin d’établir s’il existait des raisons plausibles de soupçonner l’intéressé de la commission de ces infractions. La Cour estime que la situation du requérant est identique à celle des requérants dans les affaires susmentionnées où elle a trouvé violation de l’article 5 § 4 en raison de l’étendue limitée du contrôle opéré par les tribunaux sur la régularité de la détention provisoire. Elle ne voit pas de raison d’arriver à une conclusion différente dans le cas d’espèce.</w:t>
      </w:r>
    </w:p>
    <w:p>
      <w:r>
        <w:rPr>
          <w:b/>
        </w:rPr>
        <w:t>E. 46</w:t>
      </w:r>
    </w:p>
    <w:p>
      <w:r>
        <w:t>La Cour observe de surcroît que les décisions du 20 décembre 2002 et du 15 janvier 2003 n’ont pas été prises à l’issue d’une audience. A cet égard elle rappelle que la procédure relevant de l’article 5 § 4 ne doit pas toujours s’accompagner de garanties identiques à celles que l’article 6 § 1 prescrit pour les litiges civils ou pénaux, mais qu’elle doit revêtir un caractère judiciaire et offrir à l’individu en cause des garanties adaptées à la nature de la privation de liberté dont il se plaint ( Włoch c. Pologne , n o 27785/95, § 125, CEDH 2000-XI). En particulier, pour les personnes placées en détention dans les conditions énoncées à l’article 5 § 1 c), une audience s’impose ( Assenov et autres c. Bulgarie , 28 octobre 1998, § 162, Recueil des arrêts et décisions 1998 ‑ VIII). Au vu de la jurisprudence précitée, la Cour estime que l’examen des recours en libération du requérant sans audience n’a pas été conforme aux exigences de l’article 5 § 4.</w:t>
      </w:r>
    </w:p>
    <w:p>
      <w:r>
        <w:rPr>
          <w:b/>
        </w:rPr>
        <w:t>E. 47</w:t>
      </w:r>
    </w:p>
    <w:p>
      <w:r>
        <w:t>Il y a donc eu violation de cette disposition de la Convention. III. SUR LA VIOLATION ALLÉGUÉE DE L’ARTICLE 6 § 1 DE LA CONVENTION</w:t>
      </w:r>
    </w:p>
    <w:p>
      <w:r>
        <w:rPr>
          <w:b/>
        </w:rPr>
        <w:t>E. 48</w:t>
      </w:r>
    </w:p>
    <w:p>
      <w:r>
        <w:t>Le requérant se plaint également de la durée de la procédure pénale menée à son encontre. Il invoque l’article 6 § 1 de la Convention, la partie pertinente duquel est libellée comme suit : « Toute personne a droit à ce que sa cause soit entendue (...) dans un délai raisonnable, par un tribunal (...), qui décidera (...) du bien-fondé de toute accusation en matière pénale dirigée contre elle. »</w:t>
      </w:r>
    </w:p>
    <w:p>
      <w:r>
        <w:rPr>
          <w:b/>
        </w:rPr>
        <w:t>E. 49</w:t>
      </w:r>
    </w:p>
    <w:p>
      <w:r>
        <w:t>Le Gouvernement expose que les poursuites pénales avaient une grande complexité; il s’agissait de plusieurs infractions pénales commises par plusieurs individus qui ont assumé les rôles d’auteurs, instigateurs ou facilitateurs dans les différents stades de l’accomplissement d’un crime particulièrement grave, le meurtre prémédité de V.A. L’établissement des faits a impliqué l’indentification et l’interrogatoire de nombreux témoins ; plusieurs expertises ont été ordonnées. Le Gouvernement soutient enfin que le comportement des autorités n’a pas été à l’origine de retards importants dans le déroulement de la procédure pénale.</w:t>
      </w:r>
    </w:p>
    <w:p>
      <w:r>
        <w:rPr>
          <w:b/>
        </w:rPr>
        <w:t>E. 50</w:t>
      </w:r>
    </w:p>
    <w:p>
      <w:r>
        <w:t>Le requérant admet que l’affaire se caractérisait par une certaine complexité, mais que celle-ci ne pouvait pas expliquer la longue durée du stade de l’instruction préliminaire. Il fait valoir que son comportement procédural a été irréprochable dans la mesure où il n’avait causé aucun retard dans le déroulement de la procédure. Il estime que le retard le plus important a eu lieu suite au décès d’un des jurés, quand le procès a dû recommencer dès le début. A. Sur la recevabilité 51. La Cour constate que ce grief n’est pas manifestement mal fondé au sens de l’article 35 § 3 de la Convention. Elle relève par ailleurs qu’il ne se heurte à aucun autre motif d’irrecevabilité. Il convient donc de le déclarer recevable. B. Sur le fond 52. La période à considérer a débuté le 29 mai 1998 avec l’arrestation et l’inculpation du requérant. A la date du 20 novembre 2007, la procédure pénale était toujours pendante devant la deuxième instance. Elle avait à cette dernière date déjà duré presque neuf ans et demi. 53. 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 54. La Cour admet que l’affaire en cause avait une certaine complexité : il y avait plusieurs coaccusés assumant des rôles différents dans l’accomplissement de plusieurs crimes (meurtre, vol d’une voiture, acquisition illégale d’une arme à feu) ; plusieurs mesures d’instruction ont été effectuées afin d’établir les faits (voir paragraphes 6 et 8 ci-dessus). La Cour estime néanmoins que la complexité relative de l’affaire n’est pas en mesure à expliquer à elle seule la durée considérable de la procédure pénale. 55. En ce qui concerne le comportement procédural du requérant, au vu des données dont elle dispose, la Cour constate que l’intéressé n’a pas contribué aux retard accumulés pendant la procédure. 56. La Cour constate en revanche que le retard le plus important de la procédure pénale a été imputable aux juridictions : celui-ci est survenu suite au décès d’un des jurés. Toutes les mesures d’instruction accomplies devant le tribunal de la ville de Sofia ont été mises à néant et le tribunal a dû recommencer à recueillir toutes les preuves. Ainsi, un retard de trois ans a été accumulé, alors que cette situation aurait pu être évitée si le tribunal avait été assisté d’un juré suppléant, une possibilité que le code de procédure pénale de 1974 prévoyait dans son article 259 (voir Ilijkov précité, § 64). 57. Dès lors, la Cour estime que la durée des poursuites pénales contre le requérant a dépassé les limites du délai raisonnable et elle conclut à la violation de l’article 6 § 1 de la Convention. IV. SUR LES AUTRES VIOLATIONS ALLÉGUÉES 58. Le requérant se plaint également qu’il n’a pas été traduit devant un magistrat habilité à exercer des fonctions judiciaires aussitôt après son arrestation. Il se plaint par ailleurs qu’il n’a pas été assisté d’un avocat pendant une partie de l’instruction préliminaire. 59. Compte tenu de l’ensemble des éléments en sa possession, et dans la mesure où elle était compétente pour connaître des allégations formulées, la Cour n’a relevé aucune apparence de violation des droits et libertés garantis par la Convention ou ses Protocoles. Il s’ensuit que cette partie de la requête est manifestement mal fondée et doit être rejetée en application de l’article 35 §§ 3 et 4 de la Convention. V.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 requérant réclame 70 000 euros (EUR) au titre du préjudice moral qu’il aurait subi. 62. Le Gouvernement n’a pas présenté d’observations sur ce point. 63. La Cour estime que le requérant a subi un certain préjudice moral du fait de la durée excessive de sa détention et des poursuites pénales dirigées à son encontre et à cause du caractère inefficace de l’examen de ses recours en libération. Statuant en équité, comme le veut l’article 41 de la Convention, elle considère qu’il y a lieu d’octroyer au requérant la somme de 3 500 EUR à ce titre. B. Frais et dépens 64. Le requérant demande également 3 552 EUR pour le frais et dépens engagés devant la Cour. Cette somme comprend 3 290 EUR pour quarante ‑ sept heures de travail d’avocats, au tarif horaire de 70 EUR, et 262 EUR pour les frais de poste et de traduction. La partie requérante demande que cette somme soit versée directement sur les comptes bancaires de ses représentants. 65. Le Gouvernement n’a pas formulé d’observations sur cette question. 66.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des critères susmentionnés, la Cour estime raisonnable la somme de 2 500 EUR tous frais confondus et l’accorde au requérant. 67. Elle accueille la demande du requérant que la somme susmentionnée soit versée sur le compte de ses représentants. C. Intérêts moratoires 68.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