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14260/17 vom 1. Dezember 2022</w:t>
      </w:r>
    </w:p>
    <w:p>
      <w:r>
        <w:t>Ecthr Chamber, 2022-12-01, FR</w:t>
      </w:r>
    </w:p>
    <w:p>
      <w:r>
        <w:rPr>
          <w:b/>
        </w:rPr>
        <w:t xml:space="preserve">Quelle: </w:t>
      </w:r>
      <w:r>
        <w:t>https://mcp.opencaselaw.ch/entscheid/ecthr_chamber_14260_17</w:t>
      </w:r>
    </w:p>
    <w:p>
      <w:r>
        <w:t>FR: ECTHR_CHAMBER 14260/17 du 1 décembre 2022</w:t>
      </w:r>
    </w:p>
    <w:p>
      <w:r>
        <w:t>IT: ECTHR_CHAMBER 14260/17 del 1 dicembre 2022</w:t>
      </w:r>
    </w:p>
    <w:p>
      <w:pPr>
        <w:pStyle w:val="Heading2"/>
      </w:pPr>
      <w:r>
        <w:t>Regeste</w:t>
      </w:r>
    </w:p>
    <w:p>
      <w:r>
        <w:t>Non-violation de l'article 3 - Interdiction de la torture (Article 3 - Enquête effective); No violation: 3</w:t>
      </w:r>
    </w:p>
    <w:p>
      <w:pPr>
        <w:pStyle w:val="Heading2"/>
      </w:pPr>
      <w:r>
        <w:t>Erwägungen</w:t>
      </w:r>
    </w:p>
    <w:p>
      <w:r>
        <w:rPr>
          <w:b/>
        </w:rPr>
        <w:t>E. 48</w:t>
      </w:r>
    </w:p>
    <w:p>
      <w:r>
        <w:t>La requérante allègue avoir été victime, avec sa sœur, de violences sexuelles de la part de leur oncle quand elles étaient mineures et que les autorités internes ont manqué à leur obligation positive qui leur aurait incombé de garantir son intégrité physique et psychologique. Elle invoque les articles 3 et 8 de la Convention.</w:t>
      </w:r>
    </w:p>
    <w:p>
      <w:r>
        <w:rPr>
          <w:b/>
        </w:rPr>
        <w:t>E. 49</w:t>
      </w:r>
    </w:p>
    <w:p>
      <w:r>
        <w:t>La Cour rappelle qu’elle est maîtresse de la qualification juridique des faits et qu’elle n’est pas liée par celle que leur attribuent les requérants (voir, notamment, Radomilja et autres c. Croatie [GC], n os 37685/10 et 22768/12, § 126, 20 mars 2018). En l’espèce, elle estime plus approprié d’examiner le grief formulé par la requérante sous le seul angle de l’article 3 de la Convention (voir, pour une approche similaire, X et autres c. Bulgarie [GC], n o 22457/16, § 149, 2 février 2021). Cette disposition est libellée comme suit : Article 3 « Nul ne peut être soumis à la torture ni à des peines ou traitements inhumains ou dégradants. » Sur la recevabilité</w:t>
      </w:r>
    </w:p>
    <w:p>
      <w:r>
        <w:rPr>
          <w:b/>
        </w:rPr>
        <w:t>E. 50</w:t>
      </w:r>
    </w:p>
    <w:p>
      <w:r>
        <w:t>Constatant que la requête n’est pas manifestement mal fondée ni irrecevable pour un autre motif visé à l’article 35 de la Convention, la Cour la déclare recevable. Sur le fond Thèse des parties a) La requérante 51. La requérante rappelle que, nonobstant l’introduction en 1996 d’une nouvelle loi en matière d’abus sexuels prévoyant que le parquet ordonne d’office des poursuites si les victimes sont des mineurs, aucun régime transitoire n’a été prévu pour protéger les victimes d’abus sexuels commis avant l’entrée en vigueur de cette nouvelle loi. 52. En effet, selon la loi applicable au moment des faits, la plainte aurait dû être déposée dans les trois mois après la commission des faits. Cela n’a pas été possible dans le cas de la requérante, étant donné qu’elle a pris conscience des violences qu’elle a subies seulement après un long travail de psychothérapie commencé en 1997. 53. L’intéressée argue avoir été privée d’une réponse indispensable concernant les crimes commis et soutient que les autorités ont manqué à leur obligation positive de sauvegarder ses droits fondamentaux. 54. De plus, elle rappelle avoir été doublement assujetti à V.S. car c’étaient ses parents qui la confiaient à celui-ci et que de toute manière jusqu’à sa majorité ces derniers auraient dû déposer plainte en son nom. 55. Le refus d’une telle protection a aggravé sa souffrance et sa frustration et a provoqué des dommages et une victimisation secondaire, rendant ainsi plus difficile le chemin de la guérison. 56. La requérante rappelle en outre que, s’agissant du principe de non-rétroactivité en matière pénale, la Cour a affirmé que les règles sur la rétroactivité contenues dans l’article 7 de la Convention ne s’appliquent qu’aux dispositions définissant les infractions et les peines qui les répriment. En effet, la Cour a estimé raisonnable l’application, par les juridictions internes, du principe tempus regit actum en ce qui concerne les lois de procédure ( Mione c. Italie (déc.), n o 7856/02 , 12 février 2004, et Rasnik c. Italie (déc.), n o 45989/06 , 10 juillet 2007 ; voir également Martelli c. Italie (déc.), n o 20402/03 , 12 avril 2007, et Coëme et autres c. Belgique , n os 32492/96 et 4 autres, §§ 147-149, CEDH 2000-VII). Par conséquent, la requérante fait valoir que l’article 609 septies est un article de nature procédurale dès lors qu’il introduit la possibilité de poursuivre ex officio les délits sexuels contre les mineurs, pour lesquels était nécessaire un dépôt de plainte. 57. Selon l’intéressée, le problème découle de l’absence de dispositions transitoires dans la loi n o 66 de 1996, qui auraient dû prévoir expressément la poursuite d’office même pour des crimes commis antérieurement à cette loi, ce qui n’aurait pas été contraire à l’article 7 de la Convention et aurait protégé plus efficacement les victimes d’abus. 58. S’agissant du long délai à la suite duquel le GIP a classé la plainte, la requérante rappelle que ce délai a eu des répercussions sur sa vie et qu’entre temps des témoins sont décédés. De plus, elle rappelle que le GIP a retardé et compromis de manière inexcusable la possibilité d’obtenir une réponse de la justice italienne mettant en péril de la même manière l’action civile. 59. Quant à la procédure civile et au rejet des demandes d’indemnisation, la requérante suppose que les seules preuves réelles des abus (les déclarations faites par elle et sa sœur) ont été ignorées par les juges. b) Le Gouvernement 60. Le Gouvernement fait valoir que le procureur de Gênes a effectué une enquête complète : il a entendu la requérante et sa sœur et a versé au dossier les expertises effectuées par le docteur M., spécialiste des questions d’abus sexuels sur les enfants. Il considère qu’il n’y a eu aucune négligence dans le déroulement de l’enquête pénale. 61. Il rappelle que le nouvel article 609 septies ne pouvait pas s’appliquer en l’espèce en raison du principe d’interdiction de la rétroactivité pénale. Il s’agit d’un principe contenu également dans l’article 7 de la Convention auquel on ne peut pas déroger, même en cas d’urgence. 62. Le Gouvernement rappelle que, dans l’affaire Scoppola c. Italie (n o 2) ([GC], n o 10249/03, 17 septembre 2009), la Cour a affirmé que l’article 442 § 2 du code de procédure pénale est une disposition de droit pénal matériel concernant la sévérité de la peine à infliger en cas de condamnation selon la procédure abrégée. Cette disposition ne doit pas être appliquée rétroactivement. 63. Il souligne que, même à considérer que l’article 609 septies du code pénal puisse être appliquée rétroactivement, la Cour de cassation a affirmé dans son arrêt n o 2733 du 8 juillet 1997 que cet article, introduit par la loi n o 66 du 15 février 1996, qui prévoyait un système de poursuite d’office pour les crimes de violences sexuelles, ne pouvait s’appliquer aux faits commis avant l’entrée en vigueur de ladite loi. Par conséquent, en l’espèce, le procureur a correctement demandé le classement de l’affaire en raison du dépôt tardif de la plainte. Cela est conforme au principe de légalité. 64. Quant au retard pris par le GIP pour classer la plainte, le Gouvernement argue que ce retard n’a eu aucun effet sur la requérante, vu que l’action civile a été introduite deux ans après le classement de l’enquête pénale. Ce retard n’est pas le résultat d’une faute ou d’une négligence imputable à l’État italien, mais résulte d’une réorganisation normale et correcte de l’ordre de procédure ainsi que du choix du GIP de traiter en priorité les affaires suffisamment étayées. 65. S’agissant du rejet de la demande d’indemnisation introduite par la requérante, le Gouvernement avance qu’il s’agit d’un grief de quatrième instance. En particulier, il a répété que les déclarations faites par l’intéressée et sa sœur étaient incluses dans les éléments de preuve évalués, dont elles constituaient même la partie fondamentale, et a estimé que de telles déclarations, en tout état de cause, étaient peu fiables. Appréciation de la Cour 66. La Cour renvoie aux principes généraux applicables en la matière tels qu’énoncés dans l’affaire M.C. c. Bulgarie (n o 39272/98, §§ 149-152, CEDH 2003-XII) et plus récemment dans l’affaire X et autres c. Bulgarie ([GC], n o 22457/16, §§ 176-178 et 184-192, 2 février 2021). Pour ce qui est plus précisément de l’obligation procédurale de mener une enquête effective, elle rappelle que, lorsqu’une personne allègue de manière défendable avoir été victime d’actes contraires à l’article 3 de la Convention, les autorités nationales doivent mener une enquête officielle effective propre à permettre l’établissement des faits ainsi que l’identification et la punition, le cas échéant, des personnes responsables ( ibidem , § 184). Elle redit également que l’obligation procédurale de mener une enquête effective découlant de l’article 3 de la Convention doit être interprétée, lorsque des abus sexuels sur des mineurs sont potentiellement en jeu, à la lumière des obligations découlant des autres instruments internationaux applicables. 67. Se tournant vers le cas d’espèce, elle relève que les allégations de viol et d’agression sexuelle qu’aurait subis la requérante sont suffisamment graves pour entrer dans le champ d’application de l’article 3 de la Convention (comparer avec X et autres c. Bulgarie , précité, § 193). Eu égard au rapport psychologique dressé par le docteur M., spécialiste dans les questions d’abus sexuels sur les enfants, et aux conclusions du parquet selon lesquelles il y avait des indices sérieux donnant à penser que V.S. avait imposé des rapports sexuels à la requérante et sa sœur, elle juge que ces allégations étaient défendables et qu’il incombait dès lors aux autorités nationales de mener une enquête suffisamment approfondie afin d’éclaircir toutes les circonstances de la cause ( ibidem , §§ 201 et 213). 68. La Cour rappelle qu’à l’époque des faits, après avoir mené une enquête, les autorités ont classé la plainte de la requérante au motif que la plainte avait été déposée tardivement (paragraphe 13 ci-dessus). 69. Elle note que le droit pénal interdisait les abus sexuels allégués par la requérante et prévoyait la poursuite pénale des responsables (paragraphe 21 ci-dessus). En effet, les allégations de l’intéressée, et de sa sœur, ont donné lieu, malgré le temps écoulé, à l’ouverture d’une enquête pénale en vertu des dispositions pertinentes du code pénal en vigueur à l’époque des faits. Quinze ans après les faits, en février 1999, à la suite de la plainte déposée par la requérante, le procureur a mené une enquête. Il a entendu l’intéressée et sa sœur ainsi que leur mère, et les rapports du psychologue qui les suivait ont été versés au dossier. 70. En juillet 1999, tout en soulignant la gravité des faits subis par la requérante et sa sœur, le procureur demanda au GIP de classer l’affaire (paragraphe 11 ci-dessus) au motif que la plainte était tardive (n’ayant pas été déposée dans les trois mois suivant la majorité de l’intéressée – paragraphe 23 ci-dessus), la loi telle qu’en vigueur à l’époque des faits ne prévoyait pas la possibilité d’engager une procédure d’office (paragraphe 21 ci-dessus). Par une décision du 15 janvier 2003, le GIP classa l’affaire sans suite. 71. La Cour doit donc examiner si l’application des dispositions pénales en pratique a été défectueuse au point de constituer une violation des obligations positives de l’État défendeur au titre de l’article 3 de la Convention et si le fait qu’aucune disposition régissant l’application du nouveau régime, qui exonère la partie lésée de l’obligation de porter plainte, n’ait été prévue pour protéger les victimes d’abus sexuels commis avant l’entrée en vigueur de la loi de 1996, était compatible avec l’article 3 de la Convention. 72. La Cour considère que les mécanismes pénaux devraient être mis en œuvre de manière à tenir compte de la vulnérabilité particulière de la requérante qui aurait été victime d’abus sexuels de la part de son oncle lorsqu’elle était mineure ( A et B c. Croatie , précité, § 121). 73. Elle rappelle notamment que les États ont l’obligation positive, inhérente aux articles 3 et 8 de la Convention, d’adopter des dispositions en matière pénale qui sanctionnent effectivement le viol et de les appliquer en pratique au travers d’une enquête et de poursuites effectives ( M.C. c. Bulgarie , précité, § 153, et B.V. c. Belgique , n o 61030/08, § 55, 2 mai 2017). Cette obligation positive commande en outre la criminalisation et la répression effective de tout acte sexuel non consensuel ( M.G.C. c. Roumanie , n o 61495/11, § 59, 15 mars 2016, et Z. c. Bulgarie , n o 39257/17, § 67, 28 mai 2020). 74. À cet égard, la Cour rappelle que, dans les cas où des enfants ont été potentiellement victimes d’abus sexuels, le respect des obligations positives découlant de l’article 3 requiert, dans le cadre des procédures internes engagées, la mise en œuvre effective du droit des enfants à ce que leur intérêt supérieur prime, ainsi que la prise en compte de leur particulière vulnérabilité et de leurs besoins spécifiques ( A et B c. Croatie , précité, § 111, et M.M.B. c. Slovaquie , n o 6318/17, § 61, 26 novembre 2019; voir également M.G.C. c. Roumanie , précité, §§ 70 et 73). Ces exigences sont également énoncées aujourd’hui dans d’autres instruments internationaux pertinents en l’espèce, tels que la Convention internationale des droits de l’enfant et la Convention de Lanzarote (paragraphe 36-38 ci-dessus). 75. La Cour observe qu’à l’époque des faits, les autorités ont mené une enquête suffisamment approfondie à partir du moment où elles ont eu connaissance des allégations défendables d’abus sexuels sur mineur (voir le rappel des principes pertinents dans X et autres c. Bulgarie , précité, § 213). Toutefois, en ce qui concerne l’extinction de l’action publique, la décision du GIP, en prononçant le classement des poursuites pour cause de tardivité de la plainte, a rendu impossible la continuation de l’enquête sur les violences sexuelles alléguées. 76. La Cour considère qu’en l’espèce les autorités d’enquête ont pris toutes les mesures que l’on pouvait raisonnablement attendre d’elles et que celles-ci ont analysé avec soin les éléments dont elles disposaient avant de classer l’affaire. Les dispositions en matière pénale en vigueur à l’époque des faits (paragraphes 21 et 23 ci-dessus) sanctionnaient effectivement les actes sexuels contre les mineurs et criminalisaient tout acte sexuel non consensuel avec un mineur. 77. La Cour a résumé sa jurisprudence sur l’obligation procédurale découlant des principes convergents des articles 2, 3 et 4 de la Convention dans l’affaire S.M. c. Croatie ([GC] n o 60561/14, §§ 311-320, 25 juin 2020). Elle a notamment relevé que, bien que la portée générale des obligations positives de l’État puisse varier selon que le traitement contraire à la Convention a été infligé avec la participation d’agents de l’État ou qu’il l’a été par des particuliers, les exigences procédurales sont les mêmes ( Sabalić c. Croatie , n o 50231/13, § 96, 14 janvier 2021). En particulier, les autorités ont l’obligation d’agir dès qu’une plainte officielle a été déposée. Toutefois, même en l’absence de plainte expresse, une enquête doit être menée s’il existe d’autres indices suffisamment clairs donnant à penser qu’on se trouve en présence de cas de torture ou de mauvais traitements. Les autorités doivent agir d’office dès que l’affaire est portée à leur attention ( Membres de la Congrégation des témoins de Jéhovah de Gldani et autres c. Géorgie , n o 71156/01, § 97, 3 mai 2007). La Cour note que, dans le cas d’espèce, la plainte a été déposée par la requérante, les autorités ont ouvert l’enquête et les faits de la cause ont été portés à l’attention du parquet et du GIP. Elle souligne que, sans préjudice de l’ouverture d’une procédure d’enquête dès que la victime présente un grief défendable de traitement interdit ou qu’il existe un commencement de preuve, rien dans la jurisprudence de la Cour ne s’est opposée, s’agissant de l’applicabilité de l’article 3 à des actes commis par des particuliers, à ce que la mise en œuvre des poursuites soit subordonnée à un dépôt de plainte dans un délai prévu par la législation applicable. La Cour est donc d’avis que, dans le cas d’espèce, au cours de la période où les faits se sont déroulés, c’est-à-dire avant l’entrée en vigueur de la Convention de Lanzarote, l’obligation procédurale de mener une enquête effective découlant de l’article 3 de la Convention ne devait pas être interprétée, même lorsque des abus sexuels avaient été commis par des particuliers sur des mineurs ou des personnes vulnérables, comme imposant aux États d’engager des poursuites d’office, ou d’autoriser le dépôt de plaintes sans limite de temps à compter de la commission de l’infraction ou de la majorité des mineurs. 78. À cet égard, la Cour constate qu’il ressort des éléments de droit comparé dont elle dispose qu’à l’époque des faits (c’est-à-dire avant l’entrée en vigueur de la Convention de Lanzarote, qui a prévu que les poursuites concernant les infractions sexuelles commises sur les mineurs ne soient pas subordonnées à la déclaration ou à l’accusation émanant d’une victime et que la procédure puisse se poursuivre même si la victime se rétracte – voir paragraphe 38 ci-dessus), les États contractants ont eu recours à des moyens très divers pour gérer les enquêtes, s’expliquant par le reflet de nombreuses différences observées dans leur évolution historique et leur diversité culturelle (paragraphes 40-47 ci-dessus). 79. Après l’entrée en vigueur de la Convention de Lanzarote, l’ouverture d’office d’une enquête, sans qu’elle soit subordonnée à une plainte de la victime, pour toutes sortes d’abus sexuels sur des enfants est devenue la norme dans la majorité absolue des États, y compris en Italie, seul un État ayant continué d’exiger, en tant que règle générale, le dépôt d’une plainte. Une évolution similaire concerne l’allongement des délais de prescription. 80. Compte tenu de ce qui précède, la Cour estime que la réponse procédurale des autorités nationales à l’allégation de la requérante d’abus sexuels commis par son oncle n’a pas été défectueuse au point de constituer une violation des obligations positives de l’État défendeur au titre de l’article 3 de la Convention. 81. Elle tient toutefois à rappeler que l’obligation procédurale découlant de l’article 3, lorsqu’elle concerne, comme dans le cas d’espèce, des abus sexuels commis sur les enfants, doit aujourd’hui être interprétée à la lumière des obligations découlant des autres instruments internationaux applicables et, plus particulièrement, de la Convention de Lanzarote ( X et autres c. Bulgarie , précité). 82. En ce qui concerne la non-applicabilité aux faits de la cause de la nouvelle loi (loi n o 662 de 1996) entrée en vigueur après la commission des faits allégués, la Cour note qu’une telle décision n’est pas incompatible avec la jurisprudence de la Cour et qu’aucun instrument international applicable, dont la Convention de Lanzarote – qui n’était pas encore en vigueur à l’époque des faits – ne requiert une application rétroactive de la règle selon laquelle les poursuites pénales ne doivent pas être subordonnées au dépôt d’une plainte. 83. Au demeurant, la Cour note que la Cour de cassation elle-même, dans son arrêt n o 2733 du 8 juillet 1997 (paragraphe 30 ci-dessus), a exclu l’application par les juridictions internes du principe tempus regit actum en ce qui concerne l’article 609 septies , introduit par la loi n o 662 de 1996, en jugeant qu’en droit italien la réforme législative a introduit une norme de nature mixte, matérielle et procédurale, qui détermine à la fois une condition de poursuite et de sanction, en imposant ainsi l’application de la norme la plus favorable à l’auteur de l’infraction (voir Scoppola c. Italie (n o 2) [GC], n o 10249/03, §§ 110-113, 17 septembre 2009). 84. Par ailleurs, selon la recherche du droit comparé (voir paragraphes 40-47 ci-dessus), nonobstant les différences – qui ont évoluées dans le temps – des législations des États contractants concernant l’ouverture d’une enquête à la suite d’une plainte ou d’office pour des infractions sexuelles commises sur les mineurs, l’obligation procédurale découlant de l’article 3 ne peut être interprétée comme imposant aux États de prévoir la rétroactivité de la nouvelle loi qui supprime l’obligation de porter plainte. 85. Concernant le grief tiré du manque de célérité de l’enquête, compte tenu du temps que le GIP a pris pour classer l’affaire, la Cour note qu’à la suite de la décision du parquet de demander le classement, la requérante et sa sœur ont fait opposition à cette demande. Elle constate que tout d’abord la procédure a duré quatre ans environ, mais celle-ci a notamment connu un ralentissement significatif seulement dans sa dernière phase à savoir après la demande de classement des poursuites, formulée le 12 juillet 1999, presque un an après la plainte, et la décision de classement du GIP, rendue le 15 janvier 2003 après l’opposition formulée par la requérante. 86. Quoi qu’il en soit, eu égard à l’activité du GIP, qui consiste seulement à accueillir les demandes de classement du parquet, la Cour estime que le ralentissement constaté entre la demande de classement du parquet et la décision du GIP ne suffit pas à mettre en cause l’effectivité de l’enquête dans son ensemble ( a contrario , parmi d’autres, Fernandes de Oliveira c. Portugal [GC], n o 78103/14, § 139, 31 janvier 2019). En ce qui concerne en outre le fait que, à une date non précisée, la requérante a fait opposition à la demande de classement, la Cour ne dispose d’aucun moyen lui permettant d’estimer le temps écoulé dans le traitement de l’opposition ou la manière dont la procédure s’est déroulée. 87. À cet égard, la Cour rappelle que l’obligation de mener une enquête effective est une obligation de moyens et non de résultat. Il n’existe pas un droit absolu à obtenir l’ouverture de poursuites contre une personne donnée, ou la condamnation de celle-ci, lorsqu’il n’y a pas eu de défaillances blâmables dans les efforts déployés pour obliger les auteurs d’infractions pénales à rendre des comptes ( A, B et C c. Lettonie , n o 30808/11, § 149, 31 mars 2016, et M.G.C. c. Roumanie , précité, § 58). Il n’appartient au demeurant pas à la Cour de se prononcer sur les allégations d’erreurs ou d’omissions particulières de l’enquête ; elle ne saurait se substituer aux autorités internes dans l’appréciation des faits de la cause ni statuer sur la responsabilité pénale de l’agresseur présumé ( B.V. c. Belgique , précité, § 61, et M. et C. c. Roumanie , n o 29032/04, § 113, 27 septembre 2011). 88. Au demeurant, dans la mesure où la requérante avance que la durée la procédure pénale aurait empêché les juridictions de faire entendre un témoin, entre-temps décédé, la Cour tient à souligner que le système interne se fonde sur le principe d’autonomie de l’action en responsabilité civile devant la juridiction civile et sur celui du caractère accessoire de l’action civile dans le procès pénal (voir paragraphe 29 ci-dessus). La Cour note que la requérante qui a saisi les juridictions civiles deux ans et trois mois après la décision de classement du GIP, aurait pu les saisir bien avant, lorsque le classement n’avait pas encore été prononcé ( mutatis mutandis Nicolae Virgiliu Tănase c. Roumanie [GC], n o 41720/13, § 198, 25 juin 2019). 89. S’agissant du fait que les déclarations de la requérante et sa sœur n’auraient pas été prises en compte par les juridictions civiles, la Cour relève que la cour interne a souligné que les déclarations rendues par la requérante et sa sœur constituaient même la partie fondamentale des éléments de preuve examinés, mais estima que de telles déclarations étaient peu fiables. Il n’appartient pas à la Cour de substituer son appréciation à celle des juridictions nationales, leur appréciation sur ce point n’étant pas arbitraire ou manifestement déraisonnable. 90. Compte tenu de ce qui précède, la Cour estime que les autorités italiennes ont agi avec la diligence requise par le volet procédural de l’article 3 de la Convention. Partant, il n’y a pas eu violation de l’article 3 de la Convention dans les circonstances de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