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14189/05 vom 3. Mai 2007</w:t>
      </w:r>
    </w:p>
    <w:p>
      <w:r>
        <w:t>Ecthr Chamber, 2007-05-03, FR</w:t>
      </w:r>
    </w:p>
    <w:p>
      <w:r>
        <w:rPr>
          <w:b/>
        </w:rPr>
        <w:t xml:space="preserve">Quelle: </w:t>
      </w:r>
      <w:r>
        <w:t>https://mcp.opencaselaw.ch/entscheid/ecthr_chamber_14189_05</w:t>
      </w:r>
    </w:p>
    <w:p>
      <w:r>
        <w:t>FR: ECTHR_CHAMBER 14189/05 du 3 mai 2007</w:t>
      </w:r>
    </w:p>
    <w:p>
      <w:r>
        <w:t>IT: ECTHR_CHAMBER 14189/05 del 3 maggio 2007</w:t>
      </w:r>
    </w:p>
    <w:p>
      <w:pPr>
        <w:pStyle w:val="Heading2"/>
      </w:pPr>
      <w:r>
        <w:t>Regeste</w:t>
      </w:r>
    </w:p>
    <w:p>
      <w:r>
        <w:t>Violation de l'art. 6-1; Violation: 6;6-1</w:t>
      </w:r>
    </w:p>
    <w:p>
      <w:pPr>
        <w:pStyle w:val="Heading2"/>
      </w:pPr>
      <w:r>
        <w:t>Erwägungen</w:t>
      </w:r>
    </w:p>
    <w:p>
      <w:r>
        <w:rPr>
          <w:b/>
        </w:rPr>
        <w:t>E. 8</w:t>
      </w:r>
    </w:p>
    <w:p>
      <w:r>
        <w:t>Le requérant allègue que la durée de la procédure a méconnu le principe du « délai raisonnable » tel que prévu par l'article 6 § 1 de la Convention, ainsi libellé : « Toute personne a droit à ce que sa cause soit entendue (...) dans un délai raisonnable, par un tribunal (...), qui décidera (...) du bien-fondé de toute accusation en matière pénale dirigée contre elle. »</w:t>
      </w:r>
    </w:p>
    <w:p>
      <w:r>
        <w:rPr>
          <w:b/>
        </w:rPr>
        <w:t>E. 9</w:t>
      </w:r>
    </w:p>
    <w:p>
      <w:r>
        <w:t>Le Gouvernement s'oppose à cette thèse, en excipant notamment de la complexité de l'affaire.</w:t>
      </w:r>
    </w:p>
    <w:p>
      <w:r>
        <w:rPr>
          <w:b/>
        </w:rPr>
        <w:t>E. 10</w:t>
      </w:r>
    </w:p>
    <w:p>
      <w:r>
        <w:t>La période à considérer a débuté le 27 avril 1994, avec la mise en détention provisoire du requérant, et s'est terminée le 23 septembre 2004, avec l'arrêt n o 69-70/2004 de la cour d'appel de Crète acquittant le requérant. Elle a donc duré dix ans, quatre mois et vingt-huit jours pour deux instances. A. Sur la recevabilité</w:t>
      </w:r>
    </w:p>
    <w:p>
      <w:r>
        <w:rPr>
          <w:b/>
        </w:rPr>
        <w:t>E. 11</w:t>
      </w:r>
    </w:p>
    <w:p>
      <w:r>
        <w:t>La Cour constate que la requête n'est pas manifestement mal fondée au sens de l'article 35 § 3 de la Convention. Elle relève en outre qu'elle ne se heurte à aucun autre motif d'irrecevabilité. Il convient donc de la déclarer recevable. B. Sur le fond</w:t>
      </w:r>
    </w:p>
    <w:p>
      <w:r>
        <w:rPr>
          <w:b/>
        </w:rPr>
        <w:t>E. 12</w:t>
      </w:r>
    </w:p>
    <w:p>
      <w:r>
        <w:t>La Cour rappelle que le caractère raisonnable de la durée d'une procédure s'apprécie suivant les circonstances de la cause et eu égard aux critères consacrés par la jurisprudence de la Cour, en particulier la complexité de l'affaire, le comportement du requérant et celui des autorités compétentes (voir, parmi beaucoup d'autres, Pélissier et Sassi c. France [GC], n o 25444/94, § 67, CEDH 1999-II)</w:t>
      </w:r>
    </w:p>
    <w:p>
      <w:r>
        <w:rPr>
          <w:b/>
        </w:rPr>
        <w:t>E. 13</w:t>
      </w:r>
    </w:p>
    <w:p>
      <w:r>
        <w:t>La Cour a traité à maintes reprises d'affaires soulevant des questions semblables à celle du cas d'espèce et a constaté la violation de l'article 6 § 1 de la Convention (voir Pélissier et Sassi précité).</w:t>
      </w:r>
    </w:p>
    <w:p>
      <w:r>
        <w:rPr>
          <w:b/>
        </w:rPr>
        <w:t>E. 14</w:t>
      </w:r>
    </w:p>
    <w:p>
      <w:r>
        <w:t>Après avoir examiné tous les éléments qui lui ont été soumis, la Cour considère que le Gouvernement n'a exposé aucun fait ni argument pouvant mener à une conclusion différente dans le cas présent. Compte tenu de sa jurisprudence en la matière, la Cour estime qu'en l'espèce la durée de la procédure litigieuse est excessive et ne répond pas à l'exigence du « délai raisonnable ». Partant, il y a eu violation de l'article 6 § 1. II. SUR L'APPLICATION DE L'ARTICLE 41 DE LA CONVENTION</w:t>
      </w:r>
    </w:p>
    <w:p>
      <w:r>
        <w:rPr>
          <w:b/>
        </w:rPr>
        <w:t>E. 15</w:t>
      </w:r>
    </w:p>
    <w:p>
      <w:r>
        <w:t>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16</w:t>
      </w:r>
    </w:p>
    <w:p>
      <w:r>
        <w:t>Le requérant réclame 50 000 euros (EUR) au titre du préjudice moral qu'il aurait subi.</w:t>
      </w:r>
    </w:p>
    <w:p>
      <w:r>
        <w:rPr>
          <w:b/>
        </w:rPr>
        <w:t>E. 17</w:t>
      </w:r>
    </w:p>
    <w:p>
      <w:r>
        <w:t>Le Gouvernement affirme qu'un constat de violation constituerait en soi une satisfaction équitable suffisante. A titre alternatif, il affirme que la somme allouée à ce titre ne saurait dépasser 2 000 EUR.</w:t>
      </w:r>
    </w:p>
    <w:p>
      <w:r>
        <w:rPr>
          <w:b/>
        </w:rPr>
        <w:t>E. 18</w:t>
      </w:r>
    </w:p>
    <w:p>
      <w:r>
        <w:t>La Cour estime que le requérant a subi un tort moral certain. Statuant en équité, elle lui accorde 12 000 EUR à ce titre, plus tout montant pouvant être dû à titre d'impôt. B. Frais et dépens</w:t>
      </w:r>
    </w:p>
    <w:p>
      <w:r>
        <w:rPr>
          <w:b/>
        </w:rPr>
        <w:t>E. 19</w:t>
      </w:r>
    </w:p>
    <w:p>
      <w:r>
        <w:t>Le requérant ne sollicite aucune somme au titre de ses frais et dépens. Partant, il n'y a pas lieu de lui octroyer de somme à ce titre. C. Intérêts moratoires</w:t>
      </w:r>
    </w:p>
    <w:p>
      <w:r>
        <w:rPr>
          <w:b/>
        </w:rPr>
        <w:t>E. 20</w:t>
      </w:r>
    </w:p>
    <w:p>
      <w:r>
        <w:t>La Cour juge approprié de baser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