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14044/04 vom 13. Dezember 2005</w:t>
      </w:r>
    </w:p>
    <w:p>
      <w:r>
        <w:t>Ecthr Chamber, 2005-12-13, FR</w:t>
      </w:r>
    </w:p>
    <w:p>
      <w:r>
        <w:rPr>
          <w:b/>
        </w:rPr>
        <w:t xml:space="preserve">Quelle: </w:t>
      </w:r>
      <w:r>
        <w:t>https://mcp.opencaselaw.ch/entscheid/ecthr_chamber_14044_04</w:t>
      </w:r>
    </w:p>
    <w:p>
      <w:r>
        <w:t>FR: ECTHR_CHAMBER 14044/04 du 13 décembre 2005</w:t>
      </w:r>
    </w:p>
    <w:p>
      <w:r>
        <w:t>IT: ECTHR_CHAMBER 14044/04 del 13 dicembre 2005</w:t>
      </w:r>
    </w:p>
    <w:p>
      <w:pPr>
        <w:pStyle w:val="Heading2"/>
      </w:pPr>
      <w:r>
        <w:t>Regeste</w:t>
      </w:r>
    </w:p>
    <w:p>
      <w:r>
        <w:t>Violation de l'art. 6-1;Non-lieu à examiner l'art. 8;Violation de l'art. 13;Dommage matériel et préjudice moral - réparation; Violation: 6;6-1;13</w:t>
      </w:r>
    </w:p>
    <w:p>
      <w:pPr>
        <w:pStyle w:val="Heading2"/>
      </w:pPr>
      <w:r>
        <w:t>Erwägungen</w:t>
      </w:r>
    </w:p>
    <w:p>
      <w:r>
        <w:rPr>
          <w:b/>
        </w:rPr>
        <w:t>E. 13</w:t>
      </w:r>
    </w:p>
    <w:p>
      <w:r>
        <w:t>de la Convention en raison de l’absence en droit interne d’un recours qui eût permis au requérant d’obtenir le redressement de son grief tiré de la durée de la procédure soulevé sous l’angle de l’article 6 § 1 de la Convention. IV. SUR LES AUTRES VIOLATIONS ALLÉGUÉES 71. Invoquant l’article 6 § 1 de la Convention, l’intéressé dénonce l’iniquité de la procédure, notamment le fait que le tribunal ne donne aucune suite à ses offres de preuves et que l’audience du 26 octobre 2000 a été tenue en son absence (voir les paragraphes 20 et 21 ci-dessus). La Cour constate que les griefs du requérant relatifs à l’iniquité de la procédure sont prématurés, la procédure étant toujours pendante devant le tribunal de première instance. Pour ce qui est de l’audience du 26 octobre 2000, il ne ressort pas du dossier que le requérant ait soulevé ce grief devant la Cour constitutionnelle. En effet, la seule décision de celle-ci qui peut être réexaminée par la Cour, en raison de la règle de six mois, à savoir celle du 3 décembre 2003, porte sur le recours constitutionnel du 17 juillet 2003 qui n’en fait pas mention. Les voies de recours internes n’ont donc pas été épuisées comme l’exige l’article 35 § 1 de la Convention. Il s’ensuit que ces griefs doivent être rejetés en application de l’article 35 § 4. 72. Sur le terrain de l’article 8 de la Convention, le requérant réitère son argument selon lequel les tribunaux ne respectent pas les intérêts de la mineure, démontrés par les avis des experts qu’il avait contactés. Ils l’exposent ainsi à de mauvais traitements, comme à l’occasion de l’exécution forcée de la mesure provisoire intervenue le 1 er octobre 2002, laquelle doit être qualifiée d’une ingérence inadmissible. L’atteinte à la vie privée et familiale du requérant résulterait également de la criminalisation de son comportement par les autorités nationales, étant donné qu’il a été inculpé du refus d’obtempérer à la mesure provisoire, pourtant annulée, que la police a tenté de l’amener de force au poste le 2 septembre 2004, et ce à titre injustifié, et qu’elle soumet au tribunal de fausses informations concernant ses poursuites pénales. Il en ressort pour l’intéressé que nonobstant ses obligations positives en la matière, l’Etat a manqué de lui assurer un respect effectif de sa vie privée et familiale. Dans le contexte du différend qui oppose le requérant à son épouse, le Gouvernement note que la responsabilité pour leur vie privée et familiale incombe en premier lieu aux personnes concernées. Il rappelle également que la procédure sur l’autorité parentale est encore pendante et que c’est le requérant qui exerce la garde sur sa fille depuis juillet 1999. La Cour note que les griefs concernant la manière dont les tribunaux nationaux décident en l’affaire et respectent les intérêts protégés par l’article 8 sont prématurés car la procédure litigieuse est pendante. Pour ce qui est de ses objections concernant la mesure provisoire du 26 octobre 2000 ainsi que de la tentative d’exécution datée du 1 er octobre 2002, il ne ressort pas du dossier que le requérant les ait soulevées devant la Cour constitutionnelle. En effet, la seule décision de celle-ci qui peut être réexaminée par la Cour, en raison de la règle de six mois, à savoir celle du 3 décembre 2003, porte sur le recours constitutionnel du 17 juillet 2003 qui n’en fait pas mention. Quant aux événements du 2 septembre 2004, il convient de noter que le requérant a formé une plainte auprès de l’inspection du ministère de l’Intérieur mais que son issue n’a pas été portée à la connaissance de la Cour. Il l’a en revanche informée que la décision d’engager à son encontre des poursuites pénales avait été annulée et que sa plainte concernant la conduite de la police à l’égard du tribunal avait été reconnue comme justifiée (paragraphe 50 ci-dessus). Force est de constater que si le requérant ne considère par un tel redressement comme suffisant, il aurait dû se prévaloir des recours offerts par le droit interne, dont notamment le recours constitutionnel. La Cour observe enfin que le requérant vit avec sa fille depuis juillet 1999 et rien n’entrave donc le développement de leurs liens familiaux. Compte tenu de l’ensemble de ces éléments, et dans la mesure où elle est compétente pour connaître des allégations formulées, la Cour n’a relevé aucune apparence de violation des droits garantis par la Convention. Il s’ensuit que cette partie de la requête est manifestement mal fondée et doit être rejetée en application de l’article 35 §§ 3 et 4 de la Convention. 73. Invoquant l’article 13 de la Convention, le requérant se plaint enfin de l’absence de recours effectif susceptible de redresser les griefs mentionnés dans les paragraphes 71 et 72. La Cour note qu’elle a toujours interprété l’article 13 comme exigeant un recours pour les seules plaintes que l’on peut estimer « défendables » au regard de la Convention. Or, vu les considérations et les conclusions susmentionnées, la Cour estime que les griefs tirés de l’iniquité de la procédure et l’atteinte au droit du requérant au respect de sa vie privée et familiale ne sauraient être considérés comme tels. En tout état de cause, il ne ressort pas du dossier que le requérant ne pourrait pas obtenir l’ouverture d’un recours auprès d’une autorité compétente pour apprécier le bien-fondé de ces griefs. Il s’ensuit que ce grief doit être rejeté pour défaut manifeste de fondement, en application de l’article 35 §§ 3 et 4 de la Convention. V. SUR L’APPLICATION DE L’ARTICLE 41 DE LA CONVENTION 74.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75. Le requérant réclame 581 508 couronnes tchèques (CZK), à savoir environ 19 600 euros (EUR), au titre du préjudice matériel ; cette somme est censée correspondre au manque à gagner subi par l’intéressé du fait qu’il travaille à temps partiel pour pouvoir se consacrer à sa fille, aux frais de transport de celle-ci dans une école spécialisée et à la pension alimentaire que les tribunaux auraient dû accorder à l’enfant. Il demande également 9 000 EUR au titre du préjudice moral subi. 76. Le Gouvernement objecte l’absence de lien de causalité entre le préjudice matériel réclamé et la violation alléguée, considérant que les motifs avancés par le requérant ne se rapportent pas au bien-fondé de la requête. Il estime que la somme qui pourrait le cas échéant lui être octroyée au titre de l’indemnisation d’un préjudice moral ne devrait pas dépasser 4 000 EUR. 77. Prenant en compte l’enjeu du litige pour le requérant mais aussi le fait qu’il a dans une certaine mesure contribué à la durée de la procédure, et statuant en équité comme le veut l’article 41 de la Convention, la Cour considère qu’il y a lieu de lui octroyer 6 000 EUR tous chefs de préjudice confondus. B. Frais et dépens 78. Le requérant demande également 38 500 CZK (1 298 EUR) pour les frais et dépens encourus devant les juridictions internes et 8 000 CZK (270 EUR) pour ceux encourus devant la Cour. 79. Le Gouvernement considère comme raisonnable la somme de 500 EUR. 80. La Cour rappelle que, lorsqu’elle constate une violation de la Convention, elle peut accorder aux requérants le remboursement des frais et dépens qu’ils ont engagés devant les juridictions nationales pour prévenir ou faire corriger par celles-ci ladite violation ( Zimmermann et Steiner c. Suisse , arrêt du 13 juillet 1983, série A n o 66, § 36 ; Hertel c. Suisse , arrêt du 25 août 1998, Recueil des arrêts et décisions 1998-VI, § 63). Il faut aussi que se trouvent établis leur réalité, leur nécessité et le caractère raisonnable de leur taux ( Bottazzi c. Italie [GC], n o 34884/97, § 30, CEDH 1999-V). Compte tenu des éléments en sa possession et des critères susmentionnés, la Cour estime raisonnable d’allouer au requérant la somme de 1 000 EUR à ce titre. C. Intérêts moratoires 81.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