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12919/04 vom 12. Juli 2011</w:t>
      </w:r>
    </w:p>
    <w:p>
      <w:r>
        <w:t>Ecthr Chamber, 2011-07-12, FR</w:t>
      </w:r>
    </w:p>
    <w:p>
      <w:r>
        <w:rPr>
          <w:b/>
        </w:rPr>
        <w:t xml:space="preserve">Quelle: </w:t>
      </w:r>
      <w:r>
        <w:t>https://mcp.opencaselaw.ch/entscheid/ecthr_chamber_12919_04</w:t>
      </w:r>
    </w:p>
    <w:p>
      <w:r>
        <w:t>FR: ECTHR_CHAMBER 12919/04 du 12 juillet 2011</w:t>
      </w:r>
    </w:p>
    <w:p>
      <w:r>
        <w:t>IT: ECTHR_CHAMBER 12919/04 del 12 luglio 2011</w:t>
      </w:r>
    </w:p>
    <w:p>
      <w:pPr>
        <w:pStyle w:val="Heading2"/>
      </w:pPr>
      <w:r>
        <w:t>Regeste</w:t>
      </w:r>
    </w:p>
    <w:p>
      <w:r>
        <w:t>Violation de l'art. 8;Violation de l'art. 13;Violation de P7-1;Dommage matériel - demande rejetée;Préjudice moral - réparation; Violation: 8;13</w:t>
      </w:r>
    </w:p>
    <w:p>
      <w:pPr>
        <w:pStyle w:val="Heading2"/>
      </w:pPr>
      <w:r>
        <w:t>Erwägungen</w:t>
      </w:r>
    </w:p>
    <w:p>
      <w:r>
        <w:rPr>
          <w:b/>
        </w:rPr>
        <w:t>E. 20</w:t>
      </w:r>
    </w:p>
    <w:p>
      <w:r>
        <w:t>Le requérant allègue que le retrait de son titre de séjour, son expulsion et son interdiction du territoire bulgare ont constitué une violation de l’article 8 de la Convention, ainsi libellé dans sa partie pertinente : « 1. Toute personne a droit au respect de sa vie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21</w:t>
      </w:r>
    </w:p>
    <w:p>
      <w:r>
        <w:t>Le requérant expose qu’il est citoyen moldave d’origine bulgare et qu’il s’est installé en Bulgarie en 1994. Il a obtenu le statut de résident permanent et a été vite rejoint par son épouse et son fils mineur qui ont obtenu le même statut que lui. L’enfant a été par la suite scolarisé en Bulgarie. La famille a acheté un appartement et l’intéressé a fondé une société commerciale. La partie requérante estime que ces faits démontrent clairement l’intégration sociale de l’intéressé et de sa famille dans leur nouveau pays de résidence.</w:t>
      </w:r>
    </w:p>
    <w:p>
      <w:r>
        <w:rPr>
          <w:b/>
        </w:rPr>
        <w:t>E. 22</w:t>
      </w:r>
    </w:p>
    <w:p>
      <w:r>
        <w:t>Le retrait du titre du séjour de l’intéressé et son expulsion vers son pays d’origine après dix ans de résidence en Bulgarie ont fortement perturbé la vie de sa famille : il a été séparé de son épouse et de son fils ; la famille a perdu sa source principale de revenus car la société commerciale de l’intéressé a cessé ses activités, ce qui a finalement forcé l’épouse et le fils de l’intéressé à quitter la Bulgarie ; le logement familial a été laissé sans surveillance et ultérieurement vendu à des tiers à un prix inférieur à son prix d’achat.</w:t>
      </w:r>
    </w:p>
    <w:p>
      <w:r>
        <w:rPr>
          <w:b/>
        </w:rPr>
        <w:t>E. 23</w:t>
      </w:r>
    </w:p>
    <w:p>
      <w:r>
        <w:t>Le requérant soutient que ladite ingérence reposait sur une base légale qui n’était pas suffisamment prévisible et qui ne lui offrait pas les garanties nécessaires contre l’arbitraire. Il fait remarquer que l’ordonnance de son expulsion ne mentionnait aucun motif pour les mesures d’éloignement prises à son encontre et que celle-ci n’a pas été assujettie à un contrôle de sa nécessité et de sa régularité par un organe impartial et indépendant.</w:t>
      </w:r>
    </w:p>
    <w:p>
      <w:r>
        <w:rPr>
          <w:b/>
        </w:rPr>
        <w:t>E. 24</w:t>
      </w:r>
    </w:p>
    <w:p>
      <w:r>
        <w:t>L’intéressé considère également que le retrait de son titre de séjour, son expulsion et son interdiction du territoire bulgare pour dix ans ne répondaient pas au critère de proportionnalité établi par l’article 8 § 2. Il soutient qu’il n’y avait aucune preuve qu’il s’était engagé dans des activités illicites lors de son séjour en Bulgarie et il fait remarquer qu’il n’a jamais été poursuivi pénalement par les autorités bulgares. Il expose enfin que la vraie raison de son refoulement du territoire bulgare a été son refus catégorique de payer des pots-de-vin que certains fonctionnaires publics lui avaient demandés peu de temps avant les événements en cause.</w:t>
      </w:r>
    </w:p>
    <w:p>
      <w:r>
        <w:rPr>
          <w:b/>
        </w:rPr>
        <w:t>E. 25</w:t>
      </w:r>
    </w:p>
    <w:p>
      <w:r>
        <w:t>Le Gouvernement s’oppose à la thèse du requérant. Il souligne d’emblée que la Convention n’interdit pas aux Etats membres de mettre en place des mesures pour contrôler l’entrée ou l’établissement des étrangers sur leur territoire. La présente affaire concerne un tel cas de figure. Les mesures prises à l’encontre du requérant, à savoir le retrait de son titre de séjour, l’expulsion vers son pays d’origine et l’interdiction du territoire bulgare pour dix ans, étaient prévues par la loi, notamment par les dispositions de la loi sur les étrangers.</w:t>
      </w:r>
    </w:p>
    <w:p>
      <w:r>
        <w:rPr>
          <w:b/>
        </w:rPr>
        <w:t>E. 26</w:t>
      </w:r>
    </w:p>
    <w:p>
      <w:r>
        <w:t>Pour ce qui est du but légitime des mesures en cause, le Gouvernement soutient que celles-ci visaient la défense de l’ordre public et la prévention du crime. A l’appui de sa position, il a présenté une lettre provenant du directeur de l’Agence de sécurité nationale et datée du 20 novembre 2008. Dans celle-ci, le directeur de l’agence précise d’emblée que le requérant n’a pas été poursuivi pénalement pour les faits qui ont donné lieu à son expulsion. Néanmoins ses activités ont fait l’objet de recherches de la part des services de sécurité de l’Etat. L’enquête de ces services a indiqué que l’intéressé faisait part d’un réseau international de faussaires qui fournissait de faux documents nécessaires à l’obtention du statut de résident bulgare. Parmi les personnes qui avaient eu recours aux services de ce groupe se trouvaient des membres du crime organisé et des agents de divers services secrets étrangers. Ces données ont convaincu l’Agence de demander aux organes du ministère de l’Intérieur d’annuler le permis de séjour du requérant, d’expulser ce dernier et de lui imposer une interdiction temporaire du territoire bulgare.</w:t>
      </w:r>
    </w:p>
    <w:p>
      <w:r>
        <w:rPr>
          <w:b/>
        </w:rPr>
        <w:t>E. 27</w:t>
      </w:r>
    </w:p>
    <w:p>
      <w:r>
        <w:t>Le Gouvernement est de l’avis que les mesures en cause étaient proportionnées au but légitime poursuivi : en l’espèce la nécessité de préserver l’ordre public primait les intérêts de l’individu concerné. Ce dernier était impliqué dans la commission d’infractions pénales graves qui de surcroît touchaient à l’image de son pays d’accueil aux yeux de ses pays partenaires. Le Gouvernement souligne par ailleurs que la période de dix ans passée par l’intéressé et sa famille en Bulgarie n’était pas suffisamment longue pour que ces derniers aient rompu tout lien avec leur pays d’origine, la Moldova. Ainsi le requérant n’a été en rien empêché de se réunir avec sa famille et de vivre ensemble avec son fils et son épouse dans un autre pays de son choix. A. Sur la recevabilité</w:t>
      </w:r>
    </w:p>
    <w:p>
      <w:r>
        <w:rPr>
          <w:b/>
        </w:rPr>
        <w:t>E. 28</w:t>
      </w:r>
    </w:p>
    <w:p>
      <w:r>
        <w:t>La Cour constate que ce grief n’est pas manifestement mal fondé au sens de l’article 35 § 3 de la Convention. La Cour relève par ailleurs qu’il ne se heurte à aucun autre motif d’irrecevabilité. Il convient donc de le déclarer recevable. B. Sur le fond 1. Sur l’existence d’une ingérence a) Sur l’existence d’une ingérence au droit de respect de la vie familiale</w:t>
      </w:r>
    </w:p>
    <w:p>
      <w:r>
        <w:rPr>
          <w:b/>
        </w:rPr>
        <w:t>E. 29</w:t>
      </w:r>
    </w:p>
    <w:p>
      <w:r>
        <w:t>La Cour observe que peu après son arrivée en Bulgarie en 1994, le requérant a été rejoint par son épouse et par son fils et qu’ils ont habité ensemble jusqu’à l’expulsion de l’intéressé le 12 juillet 2003. Elle observe que le Gouvernement ne conteste pas ces faits. Il en ressort qu’il y avait en l’occurrence une vie de famille, au sens de l’article 8 § 1 de la Convention, entre le requérant, son épouse et leur fils.</w:t>
      </w:r>
    </w:p>
    <w:p>
      <w:r>
        <w:rPr>
          <w:b/>
        </w:rPr>
        <w:t>E. 30</w:t>
      </w:r>
    </w:p>
    <w:p>
      <w:r>
        <w:t>La Cour rappelle ensuite que le droit d’entrer et de séjourner dans un pays de son choix n’est pas garanti en tant que tel par la Convention ou ses Protocoles et que chaque Etat a le droit de contrôler l’entrée et le séjour des ressortissants étrangers sur son territoire. Qui plus est, l’article 8 de la Convention n’impose pas aux Etats de respecter le choix d’un couple marié quant à son pays de résidence ou à autoriser le regroupement familial sur son territoire. Toutefois, l’expulsion d’un particulier du pays où résident les membres de sa famille, peut s’analyser en une ingérence au droit de respect de la vie familiale, protégé par l’article 8 de la Convention (voir l’arrêt Al‑Nashif, précité, § 114).</w:t>
      </w:r>
    </w:p>
    <w:p>
      <w:r>
        <w:rPr>
          <w:b/>
        </w:rPr>
        <w:t>E. 31</w:t>
      </w:r>
    </w:p>
    <w:p>
      <w:r>
        <w:t>Se tournant vers les faits de l’espèce, la Cour observe que le requérant avait établi sa résidence en Bulgarie depuis 1994 et qu’il a obtenu le statut de résident permanent. Il a été rejoint par les membres de sa famille qui ont obtenu le même statut que leur époux et père (voir paragraphe 7 ci‑dessus). Le fils de l’intéressé, qui à la date de son arrivée en Bulgarie avait quatre ans, a été par la suite scolarisé dans son pays d’accueil (voir paragraphe 8 ci-dessus). La famille a élu domicile à Varna où l’intéressé a acheté un logement ( ibidem ). Les mesures décrétées par les autorités à l’encontre du requérant, à savoir son expulsion vers la Moldova, le retrait de son titre de séjour et son interdiction du territoire bulgare, ont éloigné temporairement l’intéressé de sa famille. La Cour estime que cette situation s’analyse bel et bien en une ingérence dans la vie de famille du requérant au sens de l’article 8 § 2 de la Convention.</w:t>
      </w:r>
    </w:p>
    <w:p>
      <w:r>
        <w:rPr>
          <w:b/>
        </w:rPr>
        <w:t>E. 32</w:t>
      </w:r>
    </w:p>
    <w:p>
      <w:r>
        <w:t>La Cour ne perd pas de vue le fait que la séparation de la famille n’a pas duré longtemps : l’intéressé a été en fin de compte rejoint par son épouse et son fils dans leur pays d’origine. Il semble qu’ils se soient tous installés depuis dans un autre pays, en l’occurrence la Fédération de Russie. La Cour observe cependant que c’est la mise en œuvre des mesures administratives décrétées contre le requérant qui a précipité le départ de Bulgarie des autres membres de sa famille qui se sont retrouvés sans ressources après la cessation de l’activité de la société commerciale fondée et dirigée par leur époux et père (voir paragraphe 17 ci-dessus). Quoi qu’il en soit, la Cour considère que ni la courte durée de la séparation de la famille, ni le fait que celle-ci a pu se réunir dans un autre pays n’affecte en rien son constat que la situation dont se plaint le requérant a constitué une ingérence dans le droit au respect de sa vie familiale.</w:t>
      </w:r>
    </w:p>
    <w:p>
      <w:r>
        <w:rPr>
          <w:b/>
        </w:rPr>
        <w:t>E. 33</w:t>
      </w:r>
    </w:p>
    <w:p>
      <w:r>
        <w:t>Dès lors, la Cour doit se pencher sur la question de savoir si ladite ingérence était « prévue par la loi », si elle poursuivait un but légitime et si elle était « nécessaire dans une société démocratique ». 2. Sur la question de savoir si l’ingérence était « prévue par la loi »</w:t>
      </w:r>
    </w:p>
    <w:p>
      <w:r>
        <w:rPr>
          <w:b/>
        </w:rPr>
        <w:t>E. 34</w:t>
      </w:r>
    </w:p>
    <w:p>
      <w:r>
        <w:t>La Cour relève que la loi de 1998 sur les étrangers prévoyait la possibilité de retirer un titre de séjour et d’ordonner l’expulsion et l’interdiction du territoire d’un étranger si son séjour sur le territoire national constituait une menace pour l’ordre public ou la sécurité nationale. Elle permettait aux autorités d’annuler un titre de séjour par un acte administratif non motivé, délivré en dehors de toute procédure contradictoire et non susceptible de recours judiciaire (voir les arrêts Bachir et autres c. Bulgarie , n o 65028/01, § 39, 14 juin 2007 et Musa et autres, précité, § 60).</w:t>
      </w:r>
    </w:p>
    <w:p>
      <w:r>
        <w:rPr>
          <w:b/>
        </w:rPr>
        <w:t>E. 35</w:t>
      </w:r>
    </w:p>
    <w:p>
      <w:r>
        <w:t>Dans une série d’affaires similaires, en examinant le cadre législatif entourant les expulsions d’étrangers sur la base de considérations de sécurité nationale, la Cour a pu conclure que les dispositions pertinentes de la loi sur les étrangers n’offraient pas les garanties nécessaires contre l’arbitraire et que de ce fait la base légale pour ce type d’expulsions ne satisfaisait pas aux exigences qualitatives posées par l’article 8 § 2 de la Convention. La Cour a notamment pris en compte l’absence de toute base factuelle dans les ordonnances d’expulsion, le fait que les ordonnances étaient délivrées en dehors de toute procédure contradictoire et l’impossibilité de tout contrôle de leur régularité et de leur nécessité par un organe indépendant et impartial (voir les arrêts Al-Nashif , précité, §§ 125 à 129, Musa et autres , précité, §§ 61 à 63, et Bachir et autres, précité, §§ 41 et 42).</w:t>
      </w:r>
    </w:p>
    <w:p>
      <w:r>
        <w:rPr>
          <w:b/>
        </w:rPr>
        <w:t>E. 36</w:t>
      </w:r>
    </w:p>
    <w:p>
      <w:r>
        <w:t>La Cour observe que tout comme dans les affaires précitées, l’ordonnance d’expulsion de l’intéressé ne mentionnait aucune circonstance factuelle à l’appui de la conclusion que sa présence dans le pays menaçait l’ordre public ou la sécurité nationale (voir paragraphe 9 in fine ci-dessus). Il ressort de la lettre du directeur de l’Agence de sécurité nationale présentée par le Gouvernement que l’intéressé n’a à aucun moment fait l’objet de poursuites pénales par les autorités bulgares (voir paragraphe 26 ci-dessus). De surcroît, l’ordonnance en cause n’a pas été prise en suivant une procédure contradictoire et les tribunaux administratifs saisis de la plainte du requérant se sont estimés incompétents pour examiner au fond ses recours au motif qu’en vertu de la législation interne ce type d’ordonnances n’était susceptible d’aucun contrôle juridictionnel (voir paragraphes 14 à 16 ci-dessus).</w:t>
      </w:r>
    </w:p>
    <w:p>
      <w:r>
        <w:rPr>
          <w:b/>
        </w:rPr>
        <w:t>E. 37</w:t>
      </w:r>
    </w:p>
    <w:p>
      <w:r>
        <w:t>Il est vrai que l’intéressé a contesté l’ordonnance prescrivant son expulsion devant le ministre de l’Intérieur, qui a examiné et rejeté sa plainte (voir paragraphes 11 à 13 ci-dessus). La Cour n’estime toutefois pas que ledit recours offrait suffisamment de garanties contre l’arbitraire : il s’agissait d’un recours hiérarchique, introduit devant le ministre de l’Intérieur qui était l’organe administratif supérieur à celui qui avait délivré l’ordonnance litigieuse ; l’intéressé n’avait été informé à aucun moment de la base factuelle sur laquelle reposaient le retrait de son permis de séjour et son expulsion et dès lors n’a pas pu se défendre de manière effective contre l’ingérence des autorités étatiques dans le droit au respect de sa vie de famille.</w:t>
      </w:r>
    </w:p>
    <w:p>
      <w:r>
        <w:rPr>
          <w:b/>
        </w:rPr>
        <w:t>E. 38</w:t>
      </w:r>
    </w:p>
    <w:p>
      <w:r>
        <w:t>Il en ressort que la situation du requérant dans la présente affaire est similaire à celles des requérants dans les affaires Al-Nashif , Musa et autres et Bachir et autres, précitées, dans la mesure où le retrait de son titre de séjour, son expulsion et son interdiction du territoire bulgare ont été ordonnés en vertu d’une législation défaillante au regard de l’article 8 § 2, notamment en raison de l’absence de garanties adéquates contre l’arbitraire. Par conséquent, la Cour conclut que les mesures litigieuses n’étaient pas « prévues par la loi » au sens de l’article 8 § 2. Dans ces conditions, elle n’estime pas nécessaire de se pencher sur la question de savoir si ladite ingérence poursuivait un but légitime et si celle-ci était « nécessaire dans une société démocratique ».</w:t>
      </w:r>
    </w:p>
    <w:p>
      <w:r>
        <w:rPr>
          <w:b/>
        </w:rPr>
        <w:t>E. 39</w:t>
      </w:r>
    </w:p>
    <w:p>
      <w:r>
        <w:t>Il y a donc eu violation de l’article 8 de la Convention. II. SUR LA VIOLATION ALLÉGUÉE DE L’ARTICLE 13 DE LA CONVENTION</w:t>
      </w:r>
    </w:p>
    <w:p>
      <w:r>
        <w:rPr>
          <w:b/>
        </w:rPr>
        <w:t>E. 40</w:t>
      </w:r>
    </w:p>
    <w:p>
      <w:r>
        <w:t>Le requérant allègue que le droit interne ne lui a pas offert de voies de recours susceptibles de remédier à l’ingérence injustifiée dans son droit garanti par l’article 8. Il invoque l’article 13 de la Convention, libellé comme suit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41</w:t>
      </w:r>
    </w:p>
    <w:p>
      <w:r>
        <w:t>Le requérant soutient que le droit interne ne lui offrait aucune voie de recours effective pour faire valoir son droit au respect de sa vie familiale. Il fait remarquer que les tribunaux administratifs ont refusé d’examiner son recours contre l’ordonnance d’expulsion et que son recours auprès du ministre de l’Intérieur n’a pas pu remédier non plus à la situation dont il se plaint.</w:t>
      </w:r>
    </w:p>
    <w:p>
      <w:r>
        <w:rPr>
          <w:b/>
        </w:rPr>
        <w:t>E. 42</w:t>
      </w:r>
    </w:p>
    <w:p>
      <w:r>
        <w:t>Le Gouvernement s’oppose à la thèse du requérant. Il fait remarquer que suite à l’arrêt Al-Nashif , précité, la Cour administrative suprême bulgare a inversé sa jurisprudence en estimant qu’en dépit de l’interdiction explicite de tout contrôle juridictionnel sur la régularité des ordonnances d’expulsion et de retrait du titre de séjour pour des raisons de sécurité nationale, les tribunaux administratifs étaient tenus d’examiner les recours contre ce type de mesures. Le Gouvernement renvoie à une série d’arrêts et de décisions de la haute juridiction administrative, datant de 2003 et 2004 et allant dans ce sens : Решение № 4332 от 08.05.2003г. по адм. д. №11004 от 2002г. на ВАС, 5-членен състав ; Решение № 4473 от 12.05.2003г. по адм. д. № 3408 от 2003г. на ВАС, 5-членен състав ; Определение № 7137 от 09.07.2003г. по адм. д. № 5754 от 2003г. на ВАС, V о.; Определение № 706 от 29.01.2004. по адм. д. № 11313 от 2003г. на ВАС, V о. Le Gouvernement ajoute que la législation nationale a été modifiée en 2007 et que depuis cet amendement législatif la loi sur les étrangers autorise les tribunaux administratifs à contrôler la légalité des mesures coercitives imposées aux étrangers pour des raisons de sécurité nationale. A. Sur la recevabilité</w:t>
      </w:r>
    </w:p>
    <w:p>
      <w:r>
        <w:rPr>
          <w:b/>
        </w:rPr>
        <w:t>E. 43</w:t>
      </w:r>
    </w:p>
    <w:p>
      <w:r>
        <w:t>La Cour constate que ce grief n’est pas manifestement mal fondé au sens de l’article 35 § 3 de la Convention. Il ne se heurte par ailleurs à aucun autre motif d’irrecevabilité. Il convient donc de le déclarer recevable. B. Sur le fond</w:t>
      </w:r>
    </w:p>
    <w:p>
      <w:r>
        <w:rPr>
          <w:b/>
        </w:rPr>
        <w:t>E. 44</w:t>
      </w:r>
    </w:p>
    <w:p>
      <w:r>
        <w:t>La Cour rappelle que l’article 13 de la Convention garantit l’existence en droit interne d’un recours permettant de se prévaloir des droits et libertés de la Convention, tels qu’ils peuvent s’y trouver consacrés. Cette disposition exige donc un recours interne habilitant une instance nationale à connaître du contenu du grief fondé sur la Convention et à offrir un redressement approprié. Cette « instance » peut ne pas être forcément, dans tous les cas, une institution judiciaire au sens strict. Cependant, ses pouvoirs et les garanties procédurales qu’elle présente entrent en ligne de compte pour déterminer si le recours est effectif ( Rotaru c. Roumanie [GC], n o 28341/95, §§ 67 à 69, CEDH 2000-V).</w:t>
      </w:r>
    </w:p>
    <w:p>
      <w:r>
        <w:rPr>
          <w:b/>
        </w:rPr>
        <w:t>E. 45</w:t>
      </w:r>
    </w:p>
    <w:p>
      <w:r>
        <w:t>Concernant la présente affaire, la Cour constate qu’à l’époque des faits pertinents la législation interne ne prévoyait pas expressément la possibilité d’un contrôle judiciaire de la légalité des mesures coercitives d’éloignement des étrangers qui étaient imposées pour des raisons de sécurité nationale. Elle ne perd pas de vue que suite à l’adoption de l’arrêt Al-Nashif , précité, la Cour administrative suprême a effectivement opéré un revirement de sa jurisprudence, rendant désormais possible le contrôle juridictionnel de la régularité et de la nécessité de ce type d’ordonnances de l’exécutif (voir l’arrêt C.G. et autres, précité, § 25).</w:t>
      </w:r>
    </w:p>
    <w:p>
      <w:r>
        <w:rPr>
          <w:b/>
        </w:rPr>
        <w:t>E. 46</w:t>
      </w:r>
    </w:p>
    <w:p>
      <w:r>
        <w:t>Elle observe toutefois que le requérant a bien saisi le tribunal régional de Varna d’un recours contre l’ordonnance du 10 juillet 2003, mais que sa plainte a été rejetée justement au motif que la législation interne ne permettait pas aux juridictions administratives d’examiner la régularité de ce type d’ordonnances reposant sur les impératifs de la sécurité nationale. Cette position du tribunal de première instance a été confirmée le 6 février 2004 par une formation de la Cour administrative suprême (voir paragraphes 15 et 16 ci-dessus). Il en ressort qu’en dépit du revirement de la jurisprudence de la haute juridiction administrative opéré depuis 2003 et observé dans d’autres affaires similaires, le requérant n’a pas pu bénéficier de cette voie de recours pour faire valoir devant les tribunaux son droit au respect de sa vie familiale.</w:t>
      </w:r>
    </w:p>
    <w:p>
      <w:r>
        <w:rPr>
          <w:b/>
        </w:rPr>
        <w:t>E. 47</w:t>
      </w:r>
    </w:p>
    <w:p>
      <w:r>
        <w:t>Quant au recours hiérarchique intenté auprès du ministre de l’Intérieur, la Cour a déjà pu conclure, en examinant les allégations de l’intéressé sous l’angle de l’article 8, que celui-ci n’offrait pas des garanties suffisantes contre l’arbitraire (voir paragraphe 37 ci-dessus). Par ailleurs, la Cour à déjà considéré à l’occasion d’autres affaires similaires qu’un recours de ce type ne satisfaisait pas aux exigences de l’article 13 ( Musa et autres , précité, § 72). Rien dans la présente espèce ne lui permet de s’écarter de cette conclusion.</w:t>
      </w:r>
    </w:p>
    <w:p>
      <w:r>
        <w:rPr>
          <w:b/>
        </w:rPr>
        <w:t>E. 48</w:t>
      </w:r>
    </w:p>
    <w:p>
      <w:r>
        <w:t>La Cour observe enfin que le Gouvernement n’a indiqué aucune autre possibilité qui fût ouverte au requérant et qui lui eût permis de contester la régularité et la nécessité des mesures coercitives prises à son encontre par les autorités de l’état défendeur.</w:t>
      </w:r>
    </w:p>
    <w:p>
      <w:r>
        <w:rPr>
          <w:b/>
        </w:rPr>
        <w:t>E. 49</w:t>
      </w:r>
    </w:p>
    <w:p>
      <w:r>
        <w:t>Partant, il y a également eu violation de l’article 13 de la Convention. III. SUR LA VIOLATION ALLÉGUÉE DE L’ARTICLE 1 § 1 DU PROTOCOLE N o 7 A LA CONVENTION</w:t>
      </w:r>
    </w:p>
    <w:p>
      <w:r>
        <w:rPr>
          <w:b/>
        </w:rPr>
        <w:t>E. 50</w:t>
      </w:r>
    </w:p>
    <w:p>
      <w:r>
        <w:t>Le requérant se plaint enfin du fait qu’il n’a pas bénéficié des garanties procédurales en cas d’expulsion prévues par l’article 1 § 1 du Protocole n o 7, libellé comme suit : « Un étranger résidant régulièrement sur le territoire d’un Etat ne peut en être expulsé qu’en exécution d’une décision prise conformément à la loi et doit pouvoir : a) faire valoir les raisons qui militent contre son expulsion, b) faire examiner son cas, et c) se faire représenter à ces fins devant l’autorité compétente ou une ou plusieurs personnes désignées par cette autorité. (...) ». A. Sur la recevabilité 51. La Cour constate que ce grief n’est pas manifestement mal fondé au sens de l’article 35 § 3 de la Convention. Il ne se heurte à aucun autre motif d’irrecevabilité. Il convient donc de le déclarer recevable. B. Sur le fond 1. Thèses des parties 52. Le requérant soutient que la décision de son expulsion n’a pas été prise « conformément à la loi » au sens de l’article 1 § 1 du Protocole n o 7. Il estime que le refus des tribunaux d’examiner son recours contre l’ordonnance d’expulsion l’a privé de la possibilité de faire valoir les raisons militant contre son refoulement du territoire bulgare. 53. Le Gouvernement renvoie à ses motifs exposés pour les deux autres griefs du requérant (voir paragraphes 25 à 27 et 42 ci-dessus). 2. Appréciation de la Cour 54. La Cour relève d’emblée qu’en cas d’expulsion, outre la protection qui leur est offerte notamment par les articles 3 et 8 de la Convention combinés avec l’article 13, les étrangers bénéficient des garanties spécifiques prévues par l’article 1 du Protocole n o 7 (voir Lupsa c. Roumanie , n o 10337/04, § 51, CEDH 2006‑VII). 55. L’article 1 § 1 du Protocole n o 7 exige avant tout que la décision d’expulsion soit prise « conformément à la loi ». Selon la jurisprudence constante de la Cour en la matière, la portée de cette règle va au-delà de la simple observation des normes procédurales et matérielles du droit interne : elle implique de surcroît que la législation interne pertinente soit suffisamment « accessible » et « prévisible » et qu’elle offre des garanties suffisantes contre l’arbitraire (voir l’arrêt Lupsa , précité, § 55 et l’arrêt C.G. et autres , précité, § 73 avec les références). 56. La Cour réitère son constat fait lors de l’examen du grief tiré de l’article 8 de la Convention, à savoir que l’ordonnance d’expulsion du requérant reposait sur une base légale défaillante qui ne lui offrait pas les garanties suffisantes contre l’arbitraire (voir paragraphe 38 ci-dessus). Il en ressort que l’expulsion de l’intéressé n’a pas été effectuée en exécution d’une décision prise « conformément à la loi » au sens de l’article 1 § 1 du Protocole n o 7. 57. Pour ce qui est des garanties offertes par le paragraphe 1 a) et b) de cet article, la Cour rappelle d’abord que les tribunaux administratifs ont refusé d’examiner sur le fond le recours introduit par le requérant contre l’ordonnance d’expulsion du 10 juillet 2003 (voir paragraphes 15 et 16 ci‑dessus). Ainsi, malgré le revirement de la jurisprudence des tribunaux en la matière opéré à la même époque que celle des faits de la présente affaire, l’intéressé a été privé de la possibilité de faire valoir les raisons militant contre son expulsion et de faire examiner son cas devant les tribunaux administratifs. 58. Il est vrai que le requérant a également intenté un recours hiérarchique auprès du ministre de l’Intérieur, qui s’est prononcé sur son cas par une décision du 29 août 2003. Cependant, la Cour réitère son constat fait lors de l’examen du grief tiré de l’article 13 de la Convention, à savoir que ce recours hiérarchique ne pouvait pas passer pour une voie de recours interne effective dans le cas du requérant notamment en raison du fait que l’intéressé n’a à aucun moment de la procédure pu prendre connaissance des raisons factuelles de son expulsion et que le ministre, qui était le supérieur hiérarchique de l’organe qui avait délivré l’ordonnance litigieuse, ne pouvait pas passer pour un organe indépendant et impartial (voir paragraphe 47 ci‑dessus). Pour ces mêmes raisons, la Cour estime que ledit recours a été purement formel et qu’il n’a pas permis au requérant de faire examiner véritablement son cas à la lumière des raisons militant contre son expulsion. 59. Il y a donc eu violation de l’article 1 § 1 du Protocole n o 7. IV. SUR L’APPLICATION DE L’ARTICLE 41 DE LA CONVENTION 60.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61. Le requérant réclame 11 092 euros (EUR) au titre du préjudice matériel qu’il aurait subi. Il explique qu’après son expulsion il a vendu l’appartement sis à Varna pour un prix inférieur à celui payé par lui lors de l’achat de ce logement. La somme réclamée à ce titre est égale à la différence entre le prix d’achat et celui de vente de l’appartement en cause. 62. L’intéressé réclame également 45 000 EUR pour le préjudice moral subi du fait des mesures coercitives ordonnées à son encontre et qui ont emporté violation de ses droits garantis par les articles 8 et 13 de la Convention et par l’article 1 § 1 du Protocole n o 7. 63. Le Gouvernement estime que les sommes réclamées au titre du dommage matériel et moral sont exorbitantes. Il ajoute que le parlement bulgare a considérablement amendé la législation interne, qui est désormais compatible avec les dispositions de la Convention et de ses Protocoles. En conclusion il invite la Cour à déclarer que le constat même des violations des droits du requérant garantis par la Convention et son Protocole n o 7 suffit au regard de l’article 41, comme elle l’a déjà fait dans son arrêt Musa et autres , précité, § 82. 64. La Cour n’aperçoit pas de lien de causalité entre la violation constatée et le dommage matériel allégué et rejette cette demande. 65. En revanche, elle considère que la violation constatée de son droit au respect de sa vie de famille a inévitablement causé un préjudice moral à l’intéressé. Cette situation a été aggravée par l’absence de recours effectifs qui lui auraient permis de faire valoir ses droits et par la méconnaissance en l’espèce des garanties procédurales en cas d’expulsion. Compte tenu de toutes les circonstances de l’espèce, la Cour estime que la reconnaissance de ces violations des droits du requérant ne saurait constituer une satisfaction équitable suffisante. Statuant en équité, comme le lui impose l’article 41 de la Convention, elle estime qu’il y a lieu d’octroyer au requérant la somme de 10 000 EUR au titre du préjudice moral. B. Frais et dépens 66. Le requérant demande également 2 000 EUR pour les frais d’avocat engagés pendant la procédure devant la Cour. Il présente le contrat passé avec son représentant et une note de frais et d’honoraires. L’intéressé demande également 900 EUR pour les frais de courrier engagés pendant la procédure devant les instances nationales et devant la Cour et il présente à l’appui de cette prétention les bordereaux de ses envois. 67. Le Gouvernement estime que les sommes demandées au titre des frais et dépens sont exagérées et il invite la Cour à rejeter lesdites prétentions du requérant dans leur totalité. 68.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la Cour estime que les prétentions du requérant ne semblent pas exagérées et que celles-ci sont bien étayées à l’aide des documents nécessaires. Par conséquent elle considère qu’il y a lieu d’accueillir cette prétention du requérant dans sa totalité et de lui accorder 2 900 EUR, tous frais confondus. C. Intérêts moratoires 69.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