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ECTHR_CHAMBER 12728/03 vom 29. Juni 2006</w:t>
      </w:r>
    </w:p>
    <w:p>
      <w:r>
        <w:t>Ecthr Chamber, 2006-06-29, FR</w:t>
      </w:r>
    </w:p>
    <w:p>
      <w:r>
        <w:rPr>
          <w:b/>
        </w:rPr>
        <w:t xml:space="preserve">Quelle: </w:t>
      </w:r>
      <w:r>
        <w:t>https://mcp.opencaselaw.ch/entscheid/ecthr_chamber_12728_03</w:t>
      </w:r>
    </w:p>
    <w:p>
      <w:r>
        <w:t>FR: ECTHR_CHAMBER 12728/03 du 29 juin 2006</w:t>
      </w:r>
    </w:p>
    <w:p>
      <w:r>
        <w:t>IT: ECTHR_CHAMBER 12728/03 del 29 giugno 2006</w:t>
      </w:r>
    </w:p>
    <w:p>
      <w:pPr>
        <w:pStyle w:val="Heading2"/>
      </w:pPr>
      <w:r>
        <w:t>Regeste</w:t>
      </w:r>
    </w:p>
    <w:p>
      <w:r>
        <w:t>Violation de P1-1;Dommage matériel - restitution de l'appartement ou réparation pécuniaire;Préjudice moral - réparation pécuniaire</w:t>
      </w:r>
    </w:p>
    <w:p>
      <w:pPr>
        <w:pStyle w:val="Heading2"/>
      </w:pPr>
      <w:r>
        <w:t>Erwägungen</w:t>
      </w:r>
    </w:p>
    <w:p>
      <w:r>
        <w:rPr>
          <w:b/>
        </w:rPr>
        <w:t>E. 1</w:t>
      </w:r>
    </w:p>
    <w:p>
      <w:r>
        <w:t>n’avaient pas été méconnues. A défaut pour l’Etat défendeur de procéder à pareille restitution dans un délai de trois mois à compter du jour où le présent arrêt sera devenu définitif, la Cour décide qu’il devra verser à l’intéressée, pour dommage matériel, une somme correspondant à la valeur actuelle de l’appartement. 47. A ce sujet, la Cour note avec intérêt que la loi n o 247/2005 portant modification de la loi n o 10/2001 sur la restitution des biens nationalisés tant légalement qu’illégalement, entrée en vigueur le 19 juillet 2005, applique les principes exprimés dans la jurisprudence internationale, judiciaire ou arbitrale au sujet des réparations dues en cas d’actes illicites et confirmés d’une manière constante par elle-même dans sa jurisprudence relative aux privations illégales ou de facto ( Papamichalopoulos c. Grèce (satisfaction équitable) , arrêt du 31 octobre 1995, série A n o 330-B, p. 59-61, §§ 36-39, Zubani c. Italie , arrêt du 7 août 1996, Recueil des arrêts et décisions 1996 ‑ IV, p. 1078, § 49 et Brumărescu c. Roumanie (satisfaction équitable) précité, §§ 22 et 23 ). 48. En effet, la nouvelle loi qualifie d’abusives les nationalisations opérées par le régime communiste et prévoit l’obligation de restitution en nature d’un bien sorti du patrimoine d’une personne par suite d’une telle privation. En cas d’impossibilité de restitution pour cause, par exemple, de vente du bien à un tiers de bonne foi, la loi accorde une indemnité à hauteur de la valeur vénale du bien au moment de l’octroi (titre I, section I, articles 1, 16, et 43 de la loi). 49. En l’espèce, s’agissant de déterminer le montant de l’indemnité pouvant être versée à la requérante, la Cour note que celle-ci a soumis une expertise qui aboutit à une valeur marchande de 175 000 EUR. Le Gouvernement fournit l’opinion d’un expert immobilier sur l’expertise déposée par la requérante. Selon ce point de vue, la valeur marchande du bien serait de 87 636 EUR. 50. Compte tenu des informations dont elle dispose sur les prix du marché immobilier local, la Cour estime la valeur marchande actuelle du bien à 100 000 EUR. 51. De surcroît, la Cour considère que les événements en cause ont entraîné des atteintes graves au droit de la requérante au respect de son bien, pour lequel la somme de 3 000 EUR représente une réparation équitable du préjudice moral subi. 52. Concernant les sommes demandées au titre des loyers non perçus, la Cour ne saurait spéculer sur la possibilité et le rendement d’une location de l’appartement en question ( Buzatu c. Roumanie , n o 34642/97, § 18, 27 janvier 2005). B. Frais et dépens 53. Dans son formulaire de requête, la requérante sollicitait le remboursement des frais et dépens occasionnés par la procédure devant la Cour. Elle a versé au dossier une facture de 900 EUR représentant les honoraires d’avocat acquittés le 3 septembre 2003. 54. Le Gouvernement considère que la facture (en langue anglaise) délivrée par l’avocat de la requérante n’est pas en conformité avec les factures rédigées en langue roumaine. 55. Selon la jurisprudence de la Cour, un requérant ne peut obtenir le remboursement de ses frais et dépens que dans la mesure où se trouvent établis leur réalité, leur nécessité et le caractère raisonnable de leur taux. En l’espèce, la Cour note que la requérante a présenté une note d’honoraires d’avocat acquittée le 3 septembre 2003, note dont le montant total s’élève à 900 EUR. 56. Compte tenu des éléments en sa possession et des critères susmentionnés, la Cour estime raisonnable la somme de 900 EUR et l’accorde à la requérante. C. Intérêts moratoires 57. La Cour juge approprié de baser le taux des intérêts moratoires sur le taux d’intérêt de la facilité de prêt marginal de la Banque centrale européenne majoré de trois points de pourcentage.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