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ECTHR_CHAMBER 11373/85 vom 22. Juni 1989</w:t>
      </w:r>
    </w:p>
    <w:p>
      <w:r>
        <w:t>Ecthr Chamber, 1989-06-22, FR</w:t>
      </w:r>
    </w:p>
    <w:p>
      <w:r>
        <w:rPr>
          <w:b/>
        </w:rPr>
        <w:t xml:space="preserve">Quelle: </w:t>
      </w:r>
      <w:r>
        <w:t>https://mcp.opencaselaw.ch/entscheid/ecthr_chamber_11373_85</w:t>
      </w:r>
    </w:p>
    <w:p>
      <w:r>
        <w:t>FR: ECTHR_CHAMBER 11373/85 du 22 juin 1989</w:t>
      </w:r>
    </w:p>
    <w:p>
      <w:r>
        <w:t>IT: ECTHR_CHAMBER 11373/85 del 22 giugno 1989</w:t>
      </w:r>
    </w:p>
    <w:p>
      <w:pPr>
        <w:pStyle w:val="Heading2"/>
      </w:pPr>
      <w:r>
        <w:t>Regeste</w:t>
      </w:r>
    </w:p>
    <w:p>
      <w:r>
        <w:t>Violation de l'Art. 8;Violation de l'Art. 6-1;Non-violation de P1-2 et 13+P1-2;Non-lieu à examiner l'art. 13;Préjudice moral - réparation pécuniaire;Remboursement frais et dépens - procédure de la Convention; Violation: 8;6;6-1</w:t>
      </w:r>
    </w:p>
    <w:p>
      <w:pPr>
        <w:pStyle w:val="Heading2"/>
      </w:pPr>
      <w:r>
        <w:t>Erwägungen</w:t>
      </w:r>
    </w:p>
    <w:p>
      <w:r>
        <w:rPr>
          <w:b/>
        </w:rPr>
        <w:t>E. 2</w:t>
      </w:r>
    </w:p>
    <w:p>
      <w:r>
        <w:t>"Prévue par la loi" a) L'interdiction de retrait 59. A la base de l'interdiction de retrait se trouve l'article 28 de la loi sur les services sociaux. Pour autant que Mme Eriksson lui conteste, en alléguant l'incompatibilité de la législation suédoise avec la Convention (paragraphe 54 ci-dessus), la qualité de "loi" aux fins de cette dernière, la Cour rappelle les conditions suivantes qui se dégagent des mots "prévue par la loi": la loi doit être suffisamment précise, offrir une certaine garantie contre des atteintes arbitraires de la puissance publique au droit, entre autres, au respect de la vie familiale et, si elle ménage un pouvoir d'appréciation, en préciser l'étendue et les modalités avec assez de netteté pour fournir une telle garantie (arrêt Olsson précité, série A n° 130, p. 30, par. 61). 60. L'article 28 lui-même s'exprime certes en termes généraux et confère un large pouvoir d'appréciation. Toutefois, on ne saurait guère définir par avance chacune des circonstances dans lesquelles le retrait d'un enfant de son foyer d'accueil risque sérieusement de nuire à sa santé physique ou mentale. Si les autorités ne pouvaient agir que dans les cas de préjudice déjà réalisé, l'efficacité de la protection requise par l'enfant s'en trouverait fâcheusement réduite. Pour l'interprétation et l'application de l'article 28, les travaux préparatoires donnent du reste des indications sur l'exercice du pouvoir d'appréciation qu'il attribue (paragraphe 42 ci-dessus) et les juridictions administratives ont compétence pour contrôler à plusieurs niveaux les décisions arrêtées en vertu de cet article. Eu égard aux garanties accordées de la sorte contre des ingérences arbitraires, la latitude dont jouissent les autorités paraît à la Cour raisonnable et acceptable aux fins de l'article 8 (art. 8) de la Convention. 61. Mme Eriksson soutient aussi que l'interdiction de retrait ne cadrait pas avec la législation en vigueur, car aucun élément ne prouvait que Lisa se verrait menacée dans sa santé si elle retournait chez sa mère. En outre, les juridictions suédoises auraient en vérité mal appliqué l'article 28: en confirmant l'interdiction, elles auraient invoqué ce qui leur paraissait "la solution la plus appropriée et la plus heureuse" pour Lisa, et non des dangers pour sa santé. 62. La Cour rappelle d'abord que son pouvoir de contrôler le respect du droit interne est limité: il incombe au premier chef aux autorités nationales, et notamment aux cours et tribunaux, d'interpréter et appliquer ce dernier (voir, par exemple, l'arrêt Chappell du 30 mars 1989, série A n° 152, p. 23, par. 54). Or il échet de relever, avec la Commission, que les juridictions administratives ont examiné l'interdiction de retrait (paragraphes 15-22 et 27-32 ci-dessus) et que rien dans leurs décisions ne permet de la croire contraire à la législation suédoise. 63. L'ingérence découlant de l'interdiction litigieuse était donc "prévue par la loi". b) Les restrictions aux visites 64. Devant la Cour, Mme Eriksson affirme que les restrictions à ses rencontres avec sa fille (paragraphes 14, 26 et 34-35 ci-dessus) ne trouvaient pas de fondement en droit interne. Thèse accueillie par la déléguée de la Commission, mais que combat le Gouvernement: selon lui, lesdites restrictions tendaient à sauvegarder le bien-être de Lisa, but qui correspondrait à une norme en soi "prévue par la loi" même si elle ne figure explicitement dans aucune disposition précise. 65. Comme le souligne la déléguée de la Commission, la Cour administrative suprême a jugé que la décision de limiter les visites pendant la durée de validité d'une interdiction de retrait ne déploie aucun effet juridique, faute de pouvoir s'appuyer sur une règle de droit (paragraphe 45 ci-dessus). A la lumière de cette interprétation autorisée de la législation suédoise, la Cour constate que l'ingérence incriminée dans le droit de Mme Eriksson au respect de sa vie familiale n'avait pas en droit interne la base voulue et n'était donc pas "prévue par la loi" au sens de l'article 8 (art. 8).</w:t>
      </w:r>
    </w:p>
    <w:p>
      <w:r>
        <w:rPr>
          <w:b/>
        </w:rPr>
        <w:t>E. 3</w:t>
      </w:r>
    </w:p>
    <w:p>
      <w:r>
        <w:t>But légitime 66. La Commission reconnaît que les mesures en cause cherchaient à protéger, comme le plaide le Gouvernement, la "santé" et les "droits et libertés d'autrui", en l'espèce ceux de Lisa. Devant la Cour, Mme Eriksson conteste la légitimité des objectifs poursuivis: dès le début, on n'aurait nullement tenu compte de l'intérêt de l'enfant et aucun danger pour la santé de celle-ci n'aurait jamais été établi pour justifier l'interdiction de retrait. 67. L'article 28 de la loi de 1980 a manifestement pour fin de préserver les intérêts des enfants au moment de la levée d'une ordonnance de prise en charge. En outre, rien ne donne à penser que le Conseil ne l'ait pas respecté en interdisant de retirer Lisa de son foyer d'accueil (paragraphe 62 ci-dessus). Partant, cette même interdiction visait bien les buts invoqués par le Gouvernement. Quant aux restrictions aux visites, il leur manquait un fondement en droit interne (paragraphe 65 ci-dessus); en revanche, la Cour ne doute pas qu'elles ont été imposées pour protéger la santé et les droits de Lisa.</w:t>
      </w:r>
    </w:p>
    <w:p>
      <w:r>
        <w:rPr>
          <w:b/>
        </w:rPr>
        <w:t>E. 4</w:t>
      </w:r>
    </w:p>
    <w:p>
      <w:r>
        <w:t>"Nécessaire dans une société démocratique" 68. Il reste à déterminer si les mesures critiquées pouvaient passer pour "nécessaires dans une société démocratique", condition remplie selon le Gouvernement mais non aux yeux de la Commission. 69. La notion de nécessité implique une ingérence proportionnée au but légitime recherché; pour se prononcer sur la "nécessité" d'une ingérence "dans une société démocratique", la Cour tient compte de ce que les Etats contractants jouissent d'une marge d'appréciation (voir notamment l'arrêt Olsson précité, série A n° 130, pp. 31-32, par. 67). 70. Dans les circonstances de l'espèce et eu égard à la marge d'appréciation reconnue en la matière aux Etats contractants, on peut considérer comme conforme à cette exigence la décision initiale d'interdire à Mme Eriksson de retirer sa fille du foyer d'accueil. 71. En pareil cas, le droit d'une mère au respect de sa vie familiale, garanti par l'article 8 (art. 8), implique un droit à des mesures propres à la réunir à sa fille. L'ordonnance de prise en charge avait été levée et ni l'aptitude de la mère à s'occuper d'enfants, ni la situation à son domicile ne suscitaient de doute (paragraphe 20 ci-dessus). Dans sa décision du 21 janvier 1983, le Conseil social précisa que l'ordonnance de prise en charge ne se trouvant plus en vigueur, l'objectif consistait à regrouper parent et enfant (paragraphe 12 c) ci-dessus). De son côté, la Cour administrative suprême déclara dans son arrêt du 11 octobre 1984 qu'"indépendamment de la durée de l'interdiction, il incomb[ait] au [Conseil] de veiller à l'adoption sans retard de mesures destinées à réunir parents et enfant" (paragraphe 22 ci-dessus). Or il appert qu'une fois levée l'ordonnance de prise en charge, Mme Eriksson ne pouvait se prévaloir d'aucun droit de visite, d'après la législation suédoise, tant que l'interdiction de retrait demeurerait applicable. En outre, et en raison notamment des restrictions aux rencontres, on lui refusa en pratique l'occasion de voir sa fille à une fréquence et dans des conditions de nature à favoriser leur réunion, voire le développement positif de leurs relations. Cela étant, elle ne put faire supprimer l'interdiction de retrait. Les tensions qui en sont résultées entre les requérantes et l'incertitude quant à l'avenir de Lisa continuent déjà depuis plus de six ans et causent une profonde angoisse aux deux intéressées. Le Gouvernement reconnaît l'échec du système tel qu'il a joué en l'occurrence, mais il n'en existerait pas un seul qui puisse empêcher pareil état de choses: tout dépendrait des personnes concernées. La Cour n'ignore pas que la fin de la prise en charge de jeunes enfants par l'autorité publique présente parfois des difficultés, en particulier lorsqu'ils ont été placés très tôt et ont passé de nombreuses années loin du domicile de leurs parents par le sang. La situation malheureuse observée en l'espèce semble pourtant découler, à un haut degré, de ce que l'on n'a pas ménagé entre la mère et la fille de véritables rencontres destinées à les réunir. Eu égard à ce qui précède et nonobstant la marge d'appréciation de la Suède, la Cour conclut que les graves et durables restrictions aux visites, combinées avec la longueur de l'interdiction de retrait, ne sont pas proportionnées aux buts légitimes poursuivis. 72. Il y a donc eu infraction à l'article 8 (art. 8) de la Convention. B. SUR LES VIOLATIONS ALLEGUEES DE L'ARTICLE 6 PAR. 1 (art. 6-1) DE LA CONVENTION 73. Mme Eriksson invoque également sur plusieurs points l'article 6 par. 1 (art. 6-1), ainsi libellé: "Toute personne a droit à ce que sa cause soit entendue équitablement, publiquement et dans un délai raisonnable, par un tribunal indépendant et impartial, établi par la loi, qui décidera (...) des contestations sur ses droits et obligations de caractère civil (...)." Le Gouvernement ne plaide plus devant la Cour l'inapplicabilité de ce texte, mais seulement l'absence de toute violation. 1. Procédures relatives à l'interdiction de reprendre l'enfant a) Equité des procédures 74. Mme Eriksson prétend en substance ne pas avoir bénéficié de procédures équitables devant les juridictions administratives, à la suite de son premier recours contre l'interdiction de retrait (paragraphes 15-22 ci-dessus), car elle se trouvait désavantagée par rapport aux services sociaux et aux parents nourriciers, qui avaient Lisa sous leur coupe et pouvaient donc l'influencer. En outre, elle reproche aux juges administratifs d'avoir statué sans recueillir au préalable l'avis d'un médecin indépendant et se plaint de n'avoir pu contester les appréciations des experts du Conseil, puisqu'on ne l'aurait pas autorisée à charger un expert de son choix d'examiner sa fille. 75. Le premier grief concerne non pas l'équité des procédures, mais la situation de fait en l'espèce. Quant au second, les éléments fournis à la Cour montrent que des mesures appropriées furent prises pour obtenir des expertises médicales suffisantes. Considérant les procédures dans leur ensemble, la Cour, avec la Commission, ne les estime pas incompatibles avec l'article 6 par. 1 (art. 6-1). b) Durée des procédures 76. D'après Mme Eriksson, la première série d'instances (paragraphes 15-22 ci-dessus) a duré au-delà d'un délai raisonnable. 77. La période à prendre en compte à cette fin couvre environ vingt mois pour trois niveaux de juridiction. D'accord là aussi avec la Commission, la Cour ne la juge pas excessive au regard de l'article 6 par. 1 (art. 6-1). c) Retrait d'un recours 78. La requérante dénonce de surcroît une atteinte à son droit d'accès aux tribunaux: dans le cadre de la deuxième série de procédures, le Conseil l'aurait contrainte à se désister de son recours contre sa décision du 18 janvier 1985 (paragraphes 23-25 ci-dessus). 79. Les pièces du dossier n'étayent pas cette allégation, démentie par le Gouvernement. L'intéressée n'a d'ailleurs porté plainte auprès d'aucune autorité suédoise compétente. Aucune violation de l'article 6 par. 1 (art. 6-1) ne se trouve donc établie sur le point dont il s'agit. 2. Contrôle judiciaire des restrictions aux visites 80. Selon Mme Eriksson, nul recours à un tribunal ne s'ouvrait à elle contre les restrictions à ses rencontres avec Lisa. Dans son arrêt Olsson du 18 juillet 1988, la Cour administrative suprême a déclaré insusceptible de recours contentieux administratif une décision du Conseil limitant les visites (paragraphe 45 ci-dessus). Le Gouvernement le reconnaît, mais selon lui la requérante aurait pu bénéficier d'un contrôle judiciaire des raisons sous-jacentes aux restrictions si elle avait attaqué l'interdiction de retrait ou réclamé le retour de sa fille en vertu du chapitre 21, article 7, du code parental. Entre la question des visites et celle de savoir où l'enfant devait rester et pour combien de temps, il existerait un lien si étroit qu'il s'agirait en vérité de deux facettes du même problème. 81. Pas plus que la Commission, la Cour ne saurait souscrire à cette thèse. Surtout dans de telles affaires, la question des visites se distingue entièrement de celle du maintien de l'interdiction de retrait (voir, mutatis mutandis, l'arrêt W. c. Royaume-Uni du</w:t>
      </w:r>
    </w:p>
    <w:p>
      <w:r>
        <w:rPr>
          <w:b/>
        </w:rPr>
        <w:t>E. 8</w:t>
      </w:r>
    </w:p>
    <w:p>
      <w:r>
        <w:t>juillet 1987, série A n° 121-A, pp. 35-36, par. 81): seul un droit de visite adéquat fournit des possibilités réelles d'aboutir à la levée de l'interdiction. Contester cette dernière devant les juridictions administratives ne suffit donc pas à Mme Eriksson pour revendiquer pareil droit. Quant à une demande au titre de l'article 7 du chapitre 21 du code parental, elle n'entre pas davantage en ligne de compte à cette fin: en principe, elle ne prospérera que dans les mêmes circonstances qu'un recours contre une interdiction de retrait (paragraphe 49 ci-dessus). 82. Il y a donc eu violation de l'article 6 (art. 6) sur ce point. C. SUR LA VIOLATION ALLEGUEE DE L'ARTICLE 2 DU PROTOCOLE N° 1 (P1-2) 83. Selon Mme Eriksson, l'interdiction de retrait et les restrictions aux visites l'empêchent de donner à Lisa une éducation conforme aux croyances du Mouvement pentecôtiste. Il en résulterait une infraction à la seconde phrase de l'article 2 du Protocole n° 1 (P1-2), ainsi libellée: "L'Etat, dans l'exercice des fonctions qu'il assumera dans le domaine de l'éducation et de l'enseignement, respectera le droit des parents d'assurer cette éducation et cet enseignement conformément à leurs convictions religieuses et philosophiques." Le Gouvernement combat cette allégation, rejetée par la Commission. 84. L'enfant fut prise en charge et placée dans un foyer d'accueil, où elle vit depuis lors, avant la conversion de sa mère et il ne ressort pas du dossier que la question de son éducation religieuse ait jamais été soulevée devant les autorités internes. La Cour constate donc que rien ne corrobore le grief. D. SUR LES VIOLATIONS ALLEGUEES DE L'ARTICLE 13 (art. 13) DE LA CONVENTION 85. Mme Eriksson se prétend aussi victime de violations de l'article 13 (art. 13) de la Convention, aux termes duquel "Toute personne dont les droits et libertés reconnus dans la (...) Convention ont été violés, a droit à l'octroi d'un recours effectif devant une instance nationale, alors même que la violation aurait été commise par des personnes agissant dans l'exercice de leurs fonctions officielles." Le Gouvernement le conteste. 86. La requérante se plaint d'abord de l'absence de voie de recours contre les restrictions à ses rencontres avec Lisa. Eu égard à sa conclusion sur le terrain de l'article 6 par. 1 (art. 6-1) (paragraphe 82 ci-dessus), la Cour n'estime pas devoir examiner cet aspect du litige sous l'angle de l'article 13 (art. 13). 87. Mme Eriksson affirme en outre ne disposer d'aucun recours contre l'infraction alléguée à l'article 2 du Protocole n° 1 (P1-2). Dans les circonstances de la cause (paragraphe 84 ci-dessus), on ne saurait dire qu'il s'agisse d'un grief "défendable" aux fins de l'article 13 (art. 13), lequel n'a donc pas été transgressé. III. SUR LES GRIEFS DE LA FILLE 88. En sa qualité de tutrice légale et de parent par le sang, Mme Eriksson allègue encore que sa fille a subi les mêmes violations qu'elle. Le Gouvernement se demande si elle peut valablement la représenter, en raison de leurs intérêts contradictoires. Il ne soulève pourtant aucune objection formelle et la Cour ne voit pas là un obstacle l'empêchant de connaître des griefs formulés au nom de Lisa. A. SUR LA VIOLATION ALLEGUEE DE L'ARTICLE 8 (art. 8) DE LA CONVENTION 89. La situation de fait et de droit concernant la possibilité, pour les requérantes, de se rencontrer et de développer leurs relations en vue de se réunir s'analyse en une ingérence dans le droit de la fille, comme de la mère, au respect de sa vie familiale; pour les raisons indiquées aux paragraphes 65 et 71 ci-dessus, en particulier l'incertitude quant à l'avenir de Lisa, il y a eu violation de l'article 8 (art. 8) dans le chef de celle-ci également. B. SUR LES VIOLATIONS ALLEGUEES DE L'ARTICLE 6 PAR. 1 (art. 6-1) DE LA CONVENTION 90. Dans son rapport, la Commission estime que l'enfant ne peut passer pour victime des violations alléguées de l'article 6 par. 1 (art. 6-1). Devant la Cour, ni le Gouvernement ni la déléguée de la Commission n'ont abordé la question. 91. Lisa ne fut jamais formellement partie aux procédures relatives à l'interdiction de retrait (paragraphes 74-79 ci-dessus). Il ne s'impose pas de déterminer si l'article 6 par. 1 (art. 6-1) s'applique aux griefs formulés en son nom à leur sujet: la Cour a constaté que la conduite de ces procédures ne l'a pas enfreint au détriment de la mère (paragraphes 75, 77 et 79 ci-dessus) et aucun élément du dossier ne justifie une conclusion différente à l'égard de la fille. 92. Quant à l'absence de voie de recours judiciaire permettant de contester les décisions en matière de visites, l'article 6 par. 1 (art. 6-1) vaut pour Lisa comme pour Cecilia Eriksson (paragraphe 73 ci-dessus). Pour les raisons énoncées aux paragraphes 80-81 ci-dessus, il y a donc eu ici manquement à ses exigences dans le chef de la fille elle aussi. C. SUR LA VIOLATION ALLEGUEE DE L'ARTICLE 2 DU PROTOCOLE N° 1 (P1-2), CONSIDERE ISOLEMENT OU COMBINE AVEC L'ARTICLE 13 (art. 13+P1-2) DE LA CONVENTION 93. Le grief tiré de l'article 2 du Protocole n° 1 (P1-2) s'appuie seulement sur la seconde phrase, qui garantit un droit aux parents, et non sur la première, selon laquelle "nul ne peut se voir refuser le droit à l'instruction". Partant, Lisa ne peut se prétendre victime de la violation alléguée de l'article 2 (P1-2), considéré isolément ou combiné avec l'article 13 (art. 13+P1-2) de la Convention. D. SUR LA VIOLATION ALLEGUEE DE L'ARTICLE 13 DE LA CONVENTION, COMBINE AVEC L'ARTICLE 6 PAR. 1 (art. 13+6-1) 94. Vu sa conclusion concernant l'article 6 par. 1 (art. 6-1) (paragraphe 92 ci-dessus), la Cour n'estime pas devoir examiner sous l'angle de l'article 13 (art. 13) le grief relatif à l'absence de voie de recours judiciaire contre les restrictions aux visites. IV. SUR l'APPLICATION DE L'ARTICLE 50 (art. 50) DE LA CONVENTION 95. Aux termes de l'article 50 (art. 50) de la Convention, "Si la décision de la Cour déclare qu'une décision prise ou une mesure ordonnée par une autorité judiciaire ou toute autre autorité d'une Partie Contractante se trouve entièrement ou partiellement en opposition avec des obligations découlant de la (...) Convention, et si le droit interne de ladite Partie ne permet qu'imparfaitement d'effacer les conséquences de cette décision ou de cette mesure, la décision de la Cour accorde, s'il y a lieu, à la partie lésée une satisfaction équitable." A. Dommage 96. En vertu de ce texte, les requérantes réclament chacune 5.000.000 couronnes suédoises (SEK) pour dommage moral, prétention jugée excessive par le Gouvernement et la déléguée de la Commission. 97. Aux yeux de la Cour, on ne saurait douter qu'elles connaissent l'une et l'autre, de longue date, une angoisse et une détresse profondes en raison des violations relevées en l'espèce. En outre, Mme Eriksson a éprouvé de grandes difficultés et dû consacrer beaucoup de temps et d'efforts à essayer d'obtenir, dans ses contacts avec sa fille, des conditions propices à la poursuite du but que constitue leur réunion. 98. Ces divers facteurs ne se prêtent guère à un calcul. Statuant en équité comme le veut l'article 50 (art. 50), la Cour accorde à Mme Eriksson 200.000 SEK et à sa fille Lisa 100.000 SEK, pour préjudice moral. B. Frais et dépens 99. Mme Eriksson sollicite en outre 270.000 SEK pour 300 heures de travail accompli par son conseil, Mme Westerberg, pendant les instances devant la Commission et la Cour. Le Gouvernement se demande si Mme Westerberg avait réellement besoin de 300 heures, d'autant qu'elle était bien familiarisée avec l'affaire après les procédures internes. Quant au tarif horaire demandé, il tient pour raisonnable une somme de 700 SEK et non de 900. La déléguée de la Commission ne formule aucune observation. 100. Eu égard aux versements déjà opérés par le Conseil de l'Europe au titre de l'assistance judiciaire et se prononçant en équité, la Cour estime que Mme Eriksson a droit au remboursement de 100.000 SEK pour frais et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