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10868/84 vom 11. Oktober 1988</w:t>
      </w:r>
    </w:p>
    <w:p>
      <w:r>
        <w:t>Ecthr Chamber, 1988-10-11, FR</w:t>
      </w:r>
    </w:p>
    <w:p>
      <w:r>
        <w:rPr>
          <w:b/>
        </w:rPr>
        <w:t xml:space="preserve">Quelle: </w:t>
      </w:r>
      <w:r>
        <w:t>https://mcp.opencaselaw.ch/entscheid/ecthr_chamber_10868_84</w:t>
      </w:r>
    </w:p>
    <w:p>
      <w:r>
        <w:t>FR: ECTHR_CHAMBER 10868/84 du 11 octobre 1988</w:t>
      </w:r>
    </w:p>
    <w:p>
      <w:r>
        <w:t>IT: ECTHR_CHAMBER 10868/84 del 11 ottobre 1988</w:t>
      </w:r>
    </w:p>
    <w:p>
      <w:pPr>
        <w:pStyle w:val="Heading2"/>
      </w:pPr>
      <w:r>
        <w:t>Regeste</w:t>
      </w:r>
    </w:p>
    <w:p>
      <w:r>
        <w:t>Radiation du rôle (règlement amiable)</w:t>
      </w:r>
    </w:p>
    <w:p>
      <w:pPr>
        <w:pStyle w:val="Heading2"/>
      </w:pPr>
      <w:r>
        <w:t>Erwägungen</w:t>
      </w:r>
    </w:p>
    <w:p>
      <w:r>
        <w:rPr>
          <w:b/>
        </w:rPr>
        <w:t>E. 14</w:t>
      </w:r>
    </w:p>
    <w:p>
      <w:r>
        <w:t>Par une déclaration communiquée au greffier le 12 juillet 1988 (paragraphe 6 ci-dessus), le requérant accepte une indemnité de 134.000 FF que lui offre le Gouvernement; elle s'ajoutera aux 30.000 FF qui lui ont été alloués en 1986 au titre de l'article 149 du code de procédure pénale (paragraphe 10 ci-dessus). Il reconnaît qu'elle "constituera le dédommagement intégral et définitif de l'ensemble des préjudices matériels et moraux allégués" par lui et "couvrira également la totalité [de ses] frais d'avocat et autres". Il consent donc, "moyennant le versement" de ladite somme, à se "désister" de l'instance pendante devant la Cour et à "renoncer à toute action ultérieure de ce chef contre l'Etat français devant les juridictions nationales et internationales". Il note que le paiement aura lieu "aussitôt après que la Cour aura décidé de rayer [l']affaire du rôle". De son côté, le Gouvernement demande à la Cour si elle peut ou non souscrire à la solution ainsi adoptée et appliquer l'article 48 par. 2 de son règlement, selon lequel "Lorsque la chambre reçoit communication d'un règlement amiable (...), elle peut, le cas échéant après avoir consulté (...) les délégués de la Commission (...), rayer l'affaire du rôle." Consulté, le délégué de la Commission n'a présenté aucune observation.</w:t>
      </w:r>
    </w:p>
    <w:p>
      <w:r>
        <w:rPr>
          <w:b/>
        </w:rPr>
        <w:t>E. 15</w:t>
      </w:r>
    </w:p>
    <w:p>
      <w:r>
        <w:t>La Cour donne acte au Gouvernement et au requérant du règlement amiable auquel ils ont abouti. Elle pourrait néanmoins y passer outre, eu égard aux responsabilités lui incombant aux termes de l'article 19 (art. 19) de la Convention, si un motif d'ordre public lui paraissait l'exiger (article 48 par. 4 du règlement). A ce sujet, elle rappelle d'abord que plusieurs litiges antérieurs l'ont amenée à contrôler le caractère "raisonnable" de la durée d'une détention provisoire ou de poursuites pénales (articles 5 par. 3 et 6 par. 1 de la Convention (art. 5-3, art. 6-1) - arrêts Wemhoff du 27 juin 1968, Neumeister du 27 juin 1968, Stögmüller du 10 novembre 1969, Matznetter du 10 novembre 1969, Ringeisen du</w:t>
      </w:r>
    </w:p>
    <w:p>
      <w:r>
        <w:rPr>
          <w:b/>
        </w:rPr>
        <w:t>E. 16</w:t>
      </w:r>
    </w:p>
    <w:p>
      <w:r>
        <w:t>juillet 1971, Eckle du 15 juillet 1982, Foti et autres du 10 décembre 1982, Corigliano du 10 décembre 1982, Baggetta du 25 juin 1987 et Milasi du 25 juin 1987, série A n° 7, 8, 9, 10, 13, 51, 56, 57 et 119). Par là même, elle a précisé la nature et l'étendue des obligations assumées en ces matières par les Etats contractants. Quant au grief tiré de l'absence de défenseur devant la Cour de cassation, à l'appui duquel M. Woukam Moudefo a invoqué l'article 6 par. 3 c) (art. 6-3-c) et que la Commission a examiné sous l'angle de l'article 5 par. 4 (art. 5-4) (paragraphes 9, 11 et 12 ci-dessus), la jurisprudence de la Cour fournit déjà certains éléments relatifs à l'interprétation des deux textes en cause. Partant, il échet de rayer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