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10857/84 vom 7. Juli 1989</w:t>
      </w:r>
    </w:p>
    <w:p>
      <w:r>
        <w:t>Ecthr Chamber, 1989-07-07, FR</w:t>
      </w:r>
    </w:p>
    <w:p>
      <w:r>
        <w:rPr>
          <w:b/>
        </w:rPr>
        <w:t xml:space="preserve">Quelle: </w:t>
      </w:r>
      <w:r>
        <w:t>https://mcp.opencaselaw.ch/entscheid/ecthr_chamber_10857_84</w:t>
      </w:r>
    </w:p>
    <w:p>
      <w:r>
        <w:t>FR: ECTHR_CHAMBER 10857/84 du 7 juillet 1989</w:t>
      </w:r>
    </w:p>
    <w:p>
      <w:r>
        <w:t>IT: ECTHR_CHAMBER 10857/84 del 7 luglio 1989</w:t>
      </w:r>
    </w:p>
    <w:p>
      <w:pPr>
        <w:pStyle w:val="Heading2"/>
      </w:pPr>
      <w:r>
        <w:t>Regeste</w:t>
      </w:r>
    </w:p>
    <w:p>
      <w:r>
        <w:t>Exception préliminaire rejetée (non-épuisement);Violation de l'Art. 6;Dommage matériel - demande rejetée;Préjudice moral - constat de violation suffisant;Remboursement frais et dépens - procédure nationale;Remboursement frais et dépens - procédure de la Convention; Violation: 6</w:t>
      </w:r>
    </w:p>
    <w:p>
      <w:pPr>
        <w:pStyle w:val="Heading2"/>
      </w:pPr>
      <w:r>
        <w:t>Erwägungen</w:t>
      </w:r>
    </w:p>
    <w:p>
      <w:r>
        <w:rPr>
          <w:b/>
        </w:rPr>
        <w:t>E. 2</w:t>
      </w:r>
    </w:p>
    <w:p>
      <w:r>
        <w:t>(...)</w:t>
      </w:r>
    </w:p>
    <w:p>
      <w:r>
        <w:rPr>
          <w:b/>
        </w:rPr>
        <w:t>E. 3</w:t>
      </w:r>
    </w:p>
    <w:p>
      <w:r>
        <w:t>Tout accusé a droit notamment à: a) (...) b) disposer du temps et des facilités nécessaires à la préparation de sa défense; c) (...) d) interroger ou faire interroger les témoins à charge et obtenir la convocation et l’interrogation des témoins à décharge dans les mêmes conditions que les témoins à charge; e) (...)." Ils se plaignent de lacunes de l’instruction: la position du prince dans la procédure, la non-audition de M. Gruner, de M. Casse et de Me Merkt, l’absence d’expertise financière et comptable et la non-production de la gouache "Orage sur Cannes" auraient créé un déséquilibre entre eux-mêmes et le prince au profit de ce dernier et porté atteinte à leur droit à un examen équitable de leur cause. Le Gouvernement conclut à l’absence de violation, tandis que la Commission souscrit en partie à la thèse des intéressés. 75. En l’espèce, il apparaît approprié d’étudier les griefs de ceux-ci au regard des paragraphes 1 et 3, combinés, de l’article 6 (art. 6-1, art. 6-3), d’autant que les garanties du second représentent des éléments de la notion de procès équitable contenue dans le premier (art. 6-1) (voir notamment l’arrêt Unterpertinger du 24 novembre 1986, série A n o 110, p. 14, § 29). 1. Sur les modalités d’audition de la partie civile et l’absence de confrontation de celle-ci avec les requérants sur l’ensemble des préventions a) Les modalités d’audition de la partie civile 76. Les requérants allèguent d’abord que les dépositions sans serment du prince, recueillies par le premier président de la cour d’appel de Bruxelles les 9 novembre 1977 et 28 avril 1978 (paragraphes 17, 38 et 39 ci-dessus), eurent lieu dans des conditions de "préarrangement" entre le parquet et le juge d’instruction, ce qui aurait rendu la procédure inéquitable. Le Gouvernement le conteste: bien qu’inhabituelles, les modalités d’audition du prince n’auraient rien d’illégal et furent du reste abandonnées par la suite. 77. La Cour relève qu’elles suscitèrent un certain malaise mais ne furent pas maintenues (paragraphe 40 ci-dessus). Dans son jugement du 15 février 1982, le tribunal de première instance de Bruxelles les considéra comme irrégulières (paragraphe 28 ci-dessus); de son côté, la cour d’appel de Bruxelles, dans son arrêt du 9 mars 1983, en reconnut le caractère inaccoutumé tout en estimant qu’elles n’entachaient pas la procédure de nullité (paragraphe 50 ci-dessus). Une réglementation spéciale de l’audition et de l’interrogatoire des hauts personnages de l’État se rencontre dans l’ordre juridique interne de plusieurs États membres du Conseil de l’Europe. Son existence se fonde sur des raisons objectives et ne se heurte pas, en tant que telle, à l’article 6 (art. 6) de la Convention. b) L’absence de confrontation de la partie civile avec les requérants sur l’ensemble des préventions 78. D’après les requérants, l’équité du procès eût exigé leur confrontation avec le prince sur toutes les préventions. Le refus d’entendre celui-ci aurait été injustifié. Pour le Gouvernement au contraire, l’absence de confrontation globale s’expliquerait par l’ignorance dans laquelle se trouvait le prince quant à la gestion de son patrimoine, par son état de santé défectueux et par la possibilité que le requérant avait eue de lui poser des questions le 23 octobre 1979. De plus, la cour d’appel n’aurait pas utilisé les déclarations du prince à l’appui de son arrêt de condamnation, les faits lui paraissant établis à la lumière de nombreuses pièces du dossier. 79. La Cour constate d’emblée qu’à chaque phase de la procédure les requérants demandèrent une confrontation avec le prince (paragraphes 42, 46 et 48 ci-dessus). Mme Bricmont ne bénéficia jamais d’une telle confrontation. Quant à celle de son mari avec le prince, le 23 octobre 1979, elle ne porta que sur la prévention A8, relative à l’acte de donation du 19 mai 1976, et sur la question du faux testament, prévention écartée pour finir (paragraphe 41 ci-dessus). Compte tenu du secret de l’instruction, M. Bricmont n’avait pas alors accès au dossier pénal, ce qui l’empêchait en pratique d’interroger le prince sur l’ensemble des chefs d’inculpation. 80. Dans son jugement du 15 février 1982, le tribunal de première instance de Bruxelles releva, parmi les lacunes de l’instruction, le défaut de confrontation globale. Il regretta de n’avoir pu y remédier: la partie civile n’avait pas comparu en personne, justifiant son absence par des certificats médicaux contrôlés à deux reprises par un médecin légiste (paragraphe 47 ci-dessus). Quant à la cour d’appel, elle n’expliqua pas dans son arrêt du 9 mars 1983 pourquoi elle n’avait pas décidé d’entendre le prince, bien que les requérants eussent tiré argument de la constatation du tribunal (paragraphes 48 et 50 ci-dessus). 81. À l’origine de l’action publique se trouvaient des accusations du prince. Dans les circonstances de la cause, l’exercice des droits de la défense, élément essentiel du droit à un procès équitable, exigeait en principe que les requérants eussent l’occasion de contester la version du plaignant sous tous ses aspects au cours d’une confrontation ou d’une audition soit en séance publique, soit au besoin chez lui. Cela aurait pu permettre d’élucider certains faits et d’amener le prince à préciser, voire retirer tel ou tel de ses reproches. La Cour relève dans ce contexte qu’entendu par le magistrat instructeur le 18 juillet 1979 puis, en présence de M. Bricmont, le 23 octobre, il avait reconnu que sa déclaration du 9 novembre 1977 au premier président de la cour d’appel avait créé un malentendu relatif à un testament établi par lui en faveur de l’inculpé (paragraphes 40-41 ci-dessus); la chambre du conseil avait rendu sur ce point une ordonnance de non-lieu. 82. Il importe néanmoins de rechercher dans quelle mesure la cour d’appel de Bruxelles se fonda sur les accusations du prince pour condamner les requérants. 83. Dans les motifs de sa décision, elle mentionna, pour quatre des six préventions retenues (A1, A3, A8 et A10), les conclusions de la partie civile. Elle écarta ainsi les moyens de défense de M. Bricmont à la lumière des "éléments d’appréciation invoqués", "précisés" et "rappelés" dans les conclusions de la partie civile (A1 et A10); ils lui parurent constituer des "présomptions graves, précises et concordantes" révélant l’existence d’un comportement délictueux chez le requérant (A10). En ce qui concerne plus particulièrement la prévention A10, la cour d’appel se référa de surcroît à une déclaration du prince au juge d’instruction, lors de son audition du 18 juillet 1979. Certes, les juges d’appel disposaient aussi d’autres "éléments réunis par l’instruction" et que les conclusions du prince avaient "exactement rappelés" ou "relevés". En outre, les requérants purent présenter librement leurs observations au cours de l’instruction et pendant les débats. L’arrêt du 9 mars 1983 y renvoya fréquemment, en soulignant que les prévenus n’avaient pas fourni d’explications convaincantes, ni produit de documents justificatifs. 84. La Commission souligne avec raison la difficulté d’apprécier au juste le poids ainsi accordé aux dires du prince. Il ressort de l’arrêt du 9 mars 1983 qu’en jugeant fondées les préventions A1, A3 et A10, la cour d’appel s’appuya sur les accusations de la partie civile, sans que M. Bricmont eût jamais eu, à la faveur d’une audition ou confrontation, l’occasion de faire entendre, en sa présence, le plaignant sur l’ensemble des charges; il n’y eut confrontation qu’au sujet de la seule prévention A8 (paragraphe 79 ci-dessus). 85. Dès lors, pour trois des cinq préventions retenues contre lui M. Bricmont fut condamné à l’issue d’une procédure portant atteinte à ses droits de défense tels que les garantit l’article 6 (art. 6). 86. Quant aux préventions concernant Mme Bricmont, l’absence de confrontation de celle-ci avec le prince ne pose pas de problème sous l’angle du procès équitable au sens de l’article 6 (art. 6), car la cour d’appel ne se référa pas aux conclusions de la partie civile mais à une série d’autres éléments. 2. Sur les autres griefs des requérants a) La non-audition des témoins 87. Les requérants se plaignent de ce que les personnes les mieux à même, d’après eux, de fournir des renseignements ne furent pas ouïes comme témoins, en particulier M. Gruner, M. Casse et Me Merkt. Le Gouvernement répond qu’ils ne demandèrent pas ces auditions ou qu’elles n’auraient revêtu aucune pertinence, selon le cas. 88. La Cour considère, avec la Commission, qu’elle n’a pas à rechercher si la non-audition de MM. Gruner et Casse a enfreint l’article 6 en ses paragraphes 1 et 3 d) (art. 6-1, art. 6-3-d) combinés: le premier était décédé entre les audiences devant la chambre du conseil et les débats devant le tribunal de première instance et les requérants n’avaient pas réclamé le témoignage du second devant la cour d’appel. 89. Quant à Me Merkt, la Commission exprime l’opinion que sa non-audition a porté atteinte au droit garanti par le paragraphe 3 d) de l’article 6 (art. 6-3-d), faute d’avoir été dûment motivée. Il incombe en principe au juge national de décider de la nécessité ou opportunité de citer un témoin. Des circonstances exceptionnelles pourraient conduire la Cour à conclure à l’incompatibilité avec l’article 6 (art. 6) de la non-audition d’une personne comme témoin, mais en l’espèce elle ne dispose pas d’assez d’éléments pour s’estimer dans une telle situation (paragraphes 56 et 58 ci-dessus). Partant, elle ne constate pas ici de violation des paragraphes 1 et 3 d), combinés, de l’article 6 (art. 6-1, art. 6-3-d). b) L’absence d’expertise financière et comptable 90. M. et Mme Bricmont dénoncent le défaut d’expertise financière et comptable. Le Gouvernement répond que le juge d’instruction a fait preuve d’une diligence particulière pour obtenir des documents comptables, que les requérants ont cherché par tous les moyens à éviter de donner des éclaircissements sur les mouvements de fonds et que de leur propre aveu les opérations litigieuses se sont déroulées sans trace bancaire. 91. La Cour reconnaît que la nature même de l’affaire aurait rendu pareille expertise souhaitable. Elle relève cependant, avec la Commission, que d’après les propres indications de M. et Mme Bricmont la plupart des opérations avaient été réalisées sans trace bancaire accessible par le truchement des sociétés dont la règle est le secret; les juridictions belges pouvaient donc raisonnablement croire qu’une telle expertise n’aurait pas conduit à des résultats valables. Les requérants ne peuvent donc se plaindre de l’absence d’une expertise que d’ailleurs ils n’ont pas clairement sollicitée. Dès lors, il n’y a pas eu à cet égard violation des paragraphes 1 et 3 b), combinés, de l’article 6 (art. 6-1, art. 6-3-b). c) La non-production de la gouache 92. Selon les requérants, le refus d’ordonner la production aux débats de la gouache "Orage sur Cannes", peinte par le prince, les empêcha de préparer adéquatement leur défense en tirant argument de la dédicace y figurant. Le Gouvernement soutient qu’ils ont, par leur comportement, démontré l’inutilité de cette production. 93. La Cour note qu’avant leur comparution devant elle, ils n’ont jamais donné d’indication sur le texte de la dédicace. Ils ne peuvent dès lors se prétendre victimes d’une violation des paragraphes 1 et 3 b), combinés, de l’article 6 (art. 6-1, art. 6-3-b) sur ce point. III. SUR L’APPLICATION DE L’ARTICLE 50 (art. 50) 94. 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Les prétentions formulées par les requérants sur le terrain de ce texte visent aussi bien l’octroi d’une indemnité que le remboursement de frais et dépens. Le Gouvernement estime impossible de se prononcer à leur sujet "avant de connaître le verdict de la Cour", en conséquence de quoi le délégué de la Commission réserve lui aussi sa position. 95. La Cour considère néanmoins qu’elle possède assez d’éléments pour statuer sur les prétentions de M. Bricmont; elle n’a pas à examiner celles de Mme Bricmont puisqu’elle n’a relevé aucune violation au détriment de celle-ci. 1. Dommage a) Dommage matériel 96. Le requérant affirme d’abord avoir subi un préjudice matériel résultant de la privation de ses revenus professionnels du 12 octobre 1977 au 12 octobre 1989, "perte [de] chance" qu’il évalue à 10.965.552 FB. A cet égard, il prend en compte la législation applicable, le moment à laquelle la réparation serait ordonnée, l’incidence de l’érosion monétaire, les intérêts compensatoires et la non-déduction des impôts. 97. Le présent arrêt a conclu à l’existence d’une infraction à l’article 6 (art. 6) pour trois des cinq préventions retenues par les juridictions belges à la charge du requérant, mais il ne s’ensuit pas que la condamnation prononcée de leur chef n’était pas fondée. La Cour ne saurait spéculer sur le résultat auquel la procédure aurait abouti sans le manquement aux exigences de la Convention. Aucun lien de causalité ne se trouvant établi entre ladite infraction et le dommage ainsi allégué, il échet de rejeter la demande. b) Dommage moral 98. M. Bricmont réclame aussi une indemnité de 10.000.000 FB pour tort moral: il aurait souffert de ses 981 jours de détention et de l’attitude du gouvernement belge. 99. La Cour estime que le constat d’une violation de l’article 6 (art. 6) constitue sous ce rapport une satisfaction équitable suffisante. 2. Frais et dépens 100. M. Bricmont revendique en outre le remboursement des frais et dépens correspondant aux procédures menées devant les juridictions belges et canadiennes, puis devant les organes de la Convention. 101. Selon sa jurisprudence constante, la Cour peut accorder un dédommagement pour des frais et dépens a) réellement et nécessairement assumés par la partie lésée pour prévenir ou faire corriger une violation de la Convention dans l’ordre juridique interne, amener la Commission puis la Cour à la constater et en obtenir l’effacement, et b) dont le taux est raisonnable. a) Frais relatifs aux procédures nationales 102. Au titre des procédures suivies au Canada, le requérant sollicite 994.774 FB 80, dont 907.482 FB 57 pour honoraires d’avocat, 84.698 FB 60 pour frais de dactylographie et 2.593 FB 63 pour frais de photocopie. En ce qui concerne les procédures en Belgique, il demande 1.354.473 FB 50 se décomposant ainsi: honoraires d’avocat (1.224.949 FB), dépens et frais de justice (70.367 FB 50), amende (2.000 FB), frais de dactylographie, y compris pour le recours à la Commission (50.000 FB), et frais de photocopie (7.157 FB). 103. Aucune somme ne doit être octroyée pour les frais relatifs aux premières. Quant aux secondes, certains seulement des montants dont il s’agit présentent un rapport avec la violation constatée. La Cour estime équitable que la Belgique verse 200.000 FB à M. Bricmont. b) Frais relatifs aux procédures européennes 104. Au vu des pièces produites, la Cour juge équitable que la Belgique rembourse au requérant les 19.825 FB 90 réclamés par lui du chef de ses dépens dans les procédures européennes (frais de déplacement, d’hôtel et de repas). Il y a lieu d’y ajouter une partie de ceux de Mme Bricmont qui, assistée d’un avocat, a représenté son mari devant la Commission tout en défendant aussi sa propre cause, à savoir 25.000 FB d’honoraires d’avocat et 29.510 FB 05 de frais de voyage et de séjour.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