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10793/02 vom 21. Juni 2007</w:t>
      </w:r>
    </w:p>
    <w:p>
      <w:r>
        <w:t>Ecthr Chamber, 2007-06-21, FR</w:t>
      </w:r>
    </w:p>
    <w:p>
      <w:r>
        <w:rPr>
          <w:b/>
        </w:rPr>
        <w:t xml:space="preserve">Quelle: </w:t>
      </w:r>
      <w:r>
        <w:t>https://mcp.opencaselaw.ch/entscheid/ecthr_chamber_10793_02</w:t>
      </w:r>
    </w:p>
    <w:p>
      <w:r>
        <w:t>FR: ECTHR_CHAMBER 10793/02 du 21 juin 2007</w:t>
      </w:r>
    </w:p>
    <w:p>
      <w:r>
        <w:t>IT: ECTHR_CHAMBER 10793/02 del 21 giugno 2007</w:t>
      </w:r>
    </w:p>
    <w:p>
      <w:pPr>
        <w:pStyle w:val="Heading2"/>
      </w:pPr>
      <w:r>
        <w:t>Regeste</w:t>
      </w:r>
    </w:p>
    <w:p>
      <w:r>
        <w:t>Radiation du rôle</w:t>
      </w:r>
    </w:p>
    <w:p>
      <w:pPr>
        <w:pStyle w:val="Heading2"/>
      </w:pPr>
      <w:r>
        <w:t>Erwägungen</w:t>
      </w:r>
    </w:p>
    <w:p>
      <w:r>
        <w:rPr>
          <w:b/>
        </w:rPr>
        <w:t>E. 13</w:t>
      </w:r>
    </w:p>
    <w:p>
      <w:r>
        <w:t>Le 3 avril 2007, la Cour a reçu du Gouvernement la déclaration suivante : « Je soussignée, Ruxandra PAŞOI, Co-Agent du Gouvernement roumain devant la Cour européenne des Droits de l'Homme, déclare que le gouvernement roumain propose de verser à M me Irina Beldiman, en qualité de représentante de Marcel Andrei Dura, Ionuţ Marius Dura, Mihaela Dura et Lucian Dura, à titre gracieux, conjointement , la somme de 3 000 EUR (trois mille euros) en vue d'un règlement amiable de l'affaire ayant pour origine la requête susmentionnée pendante devant la Cour européenne des Droits de l'Homme. Cette somme couvrira tout préjudice matériel et moral ainsi que les frais et dépens et sera payée dans les trois mois suivant la date de la notification de l'arrêt de la Cour rendu conformément à l'article 39 de la Convention européenne des Droits de l'Homme. A défaut de règlement dans ledit délai, le Gouvernement s'engage à verser, à compter de l'expiration de celui-ci et jusqu'au règlement effectif de la somme en question, un intérêt simple à un taux égal à celui de la facilité de prêt marginal de la Banque centrale européenne, augmenté de trois points de pourcentage. Ce versement vaudra règlement définitif de l'affaire. »</w:t>
      </w:r>
    </w:p>
    <w:p>
      <w:r>
        <w:rPr>
          <w:b/>
        </w:rPr>
        <w:t>E. 14</w:t>
      </w:r>
    </w:p>
    <w:p>
      <w:r>
        <w:t>Le 12 avril 2007, la Cour a reçu la déclaration suivante, signée par les héritiers du requérant : « Je soussignée, Irina BELDIMAN, en qualité de représentante de Marcel Andrei Dura, Ionuţ Marius Dura, Mihaela Dura et Lucian Dura, note que le gouvernement roumain est prêt à me verser, à titre gracieux, conjointement , la somme de 3 000 EUR (trois mille euros), en vue d'un règlement amiable de l'affaire ayant pour origine la requête susmentionnée pendante devant la Cour européenne des Droits de l'Homme. Cette somme couvrira tout préjudice matériel et moral ainsi que les frais et dépens et sera payée dans les trois mois suivant la date de la notification de l'arrêt de la Cour rendu conformément à l'article 39 de la Convention européenne des Droits de l'Homme. A compter de l'expiration dudit délai et jusqu'au règlement effectif de la somme en question, il sera payé un intérêt simple à un taux égal à celui de la facilité de prêt marginal de la Banque centrale européenne, augmenté de trois points de pourcentage. J'accepte cette proposition et renonce par ailleurs à toute autre prétention à l'encontre de la Roumanie à propos des faits à l'origine de ladite requête. Je déclare l'affaire définitivement réglée. La présente déclaration s'inscrit dans le cadre du règlement amiable auquel le Gouvernement et moi-même sommes parvenus. »</w:t>
      </w:r>
    </w:p>
    <w:p>
      <w:r>
        <w:rPr>
          <w:b/>
        </w:rPr>
        <w:t>E. 15</w:t>
      </w:r>
    </w:p>
    <w:p>
      <w:r>
        <w:t>La Cour prend acte du règlement amiable auquel sont parvenues les parties (article 39 de la Convention). Elle est assurée que ce règlement s'inspire du respect des droits de l'homme tels que les reconnaissent la Convention ou ses Protocoles (articles 37 § 1 in fine de la Convention et 62 § 3 du règlement).</w:t>
      </w:r>
    </w:p>
    <w:p>
      <w:r>
        <w:rPr>
          <w:b/>
        </w:rPr>
        <w:t>E. 16</w:t>
      </w:r>
    </w:p>
    <w:p>
      <w:r>
        <w:t>Partant, il convient de rayer l'affaire du 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