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10557/03 vom 1. April 2008</w:t>
      </w:r>
    </w:p>
    <w:p>
      <w:r>
        <w:t>Ecthr Chamber, 2008-04-01, FR</w:t>
      </w:r>
    </w:p>
    <w:p>
      <w:r>
        <w:rPr>
          <w:b/>
        </w:rPr>
        <w:t xml:space="preserve">Quelle: </w:t>
      </w:r>
      <w:r>
        <w:t>https://mcp.opencaselaw.ch/entscheid/ecthr_chamber_10557_03</w:t>
      </w:r>
    </w:p>
    <w:p>
      <w:r>
        <w:t>FR: ECTHR_CHAMBER 10557/03 du 1 avril 2008</w:t>
      </w:r>
    </w:p>
    <w:p>
      <w:r>
        <w:t>IT: ECTHR_CHAMBER 10557/03 del 1 aprile 2008</w:t>
      </w:r>
    </w:p>
    <w:p>
      <w:pPr>
        <w:pStyle w:val="Heading2"/>
      </w:pPr>
      <w:r>
        <w:t>Regeste</w:t>
      </w:r>
    </w:p>
    <w:p>
      <w:r>
        <w:t>Violation de l'article 6 - Droit à un procès équitable;Violation de l'article 1 du Protocole n° 1 - Protection de la propriété; Violation: 6;P1-1</w:t>
      </w:r>
    </w:p>
    <w:p>
      <w:pPr>
        <w:pStyle w:val="Heading2"/>
      </w:pPr>
      <w:r>
        <w:t>Erwägungen</w:t>
      </w:r>
    </w:p>
    <w:p>
      <w:r>
        <w:rPr>
          <w:b/>
        </w:rPr>
        <w:t>E. 1</w:t>
      </w:r>
    </w:p>
    <w:p>
      <w:r>
        <w:t>26. Invoquant l’article 1 du Protocole n o 1, la requérante se plaint du caractère inadéquat de l’indemnité d’expropriation, qui a été calculée en fonction de la loi n o 359 de 1992. La disposition en cause si lit ainsi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27. Le Gouvernement s’oppose à cette thèse. A. Sur la recevabilité 28. Le Gouvernement soutient que la requête a été introduite tardivement dans la mesure où la requérante se plaint de ce que le montant du dédommagement a été calculé au sens de la loi n o 359 de 1992. Il estime que le délai de six mois prévu à l’article 35 de la Convention a commencé à courir soit en 1992, à savoir à la date de l’entrée en vigueur de cette loi, soit en 1993, à savoir à la date du dépôt au greffe de l’arrêt par lequel la Cour constitutionnelle a confirmé la légalité de la disposition en question. A l’appui de ses allégations, le Gouvernement cite l’affaire Miconi c. Italie ((déc.), n o 66432/01, 6 mai 2004). 29. La requérante conteste cet argument. 30. La Cour rappelle qu’elle a rejeté ce type d’exception dans plusieurs affaires (voir, entre autres, Donati c. Italie (déc.), n o 63242/00, 13 mai 2004 ; Chirò c. Italie n o</w:t>
      </w:r>
    </w:p>
    <w:p>
      <w:r>
        <w:rPr>
          <w:b/>
        </w:rPr>
        <w:t>E. 2</w:t>
      </w:r>
    </w:p>
    <w:p>
      <w:r>
        <w:t>Appréciation de la Cour 38. La Cour constate tout d’abord que les parties s’accordent pour dire qu’il y a eu « privation des biens » au sens de la deuxième phrase du premier alinéa de l’article 1 du Protocole n o 1. 39. Comme elle l’a précisé à plusieurs reprises, la Cour rappelle que l’article 1 du Protocole n o 1 contient trois normes distinctes : « la première, qui s’exprime dans la première phrase du premier alinéa et revêt un caractère général, énonce le principe du respect de la propriété ; la deuxième, figurant dans la seconde phrase du même alinéa, vise la privation de propriété et la soumet à certaines conditions ; quant à la troisième, consignée dans le second alinéa, elle reconnaît aux États le pouvoir, entre autres, de réglementer l’usage des biens conformément à l’intérêt général (...). Il ne s’agit pas pour autant de règles dépourvues de rapport entre elles. La deuxième et la troisième ont trait à des exemples particuliers d’atteintes au droit de propriété ; dès lors, elles doivent s’interpréter à la lumière du principe consacré par la première » (voir, entre autres, l’arrêt James et autres c. Royaume-Uni , précité, § 37, lequel reprend en partie les termes de l’analyse que la Cour a développée dans son arrêt Sporrong et Lönnroth c. Suède , 23 septembre 1982, série A n o 52, p. 24, § 61 ; voir aussi les arrêts Les Saints Monastères c. Grèce , 9 décembre 1994, série A n o 301-A, p. 31, § 56, Iatridis c. Grèce [GC], n o 31107/96, § 55, CEDH 1999-II, et Beyeler c. Italie [GC], n o 33202/96, § 106, CEDH 2000-I). 40. Une mesure d’ingérence dans le droit au respect des biens doit ménager un « juste équilibre » entre les exigences de l’intérêt général de la communauté et les impératifs de la sauvegarde des droits fondamentaux de l’individu (voir, parmi d’autres, Sporrong et Lönnroth , arrêt précité, p. 26, § 69). Le souci d’assurer un tel équilibre se reflète dans la structure de l’article 1 du Protocole n o 1 tout entier, donc aussi dans la seconde phrase, qui doit se lire à la lumière du principe consacré par la première. En particulier, il doit exister un rapport raisonnable de proportionnalité entre les moyens employés et le but visé par toute mesure appliquée par l’État, y compris les mesures privant une personne de sa propriété ( Pressos Compania Naviera S.A. et autres c. Belgique , arrêt du 20 novembre 1995, série A n o 332, p. 23, § 38 ; Ex-roi de Grèce et autres c. Grèce [GC], n o 25701/94, § 89-90, CEDH 2000-XII ; Sporrong et Lönnroth, p. 28, § 73, arrêt précité). 41. En contrôlant le respect de cette exigence, la Cour reconnaît à l’État une grande marge d’appréciation tant pour choisir les modalités de mise en œuvre que pour juger si leurs conséquences se trouvent légitimées, dans l’intérêt général, par le souci d’atteindre l’objectif de la loi en cause ( Chassagnou et autres c. France [GC], n os 25088/94, 28331/95 et 28443/95, § 75, CEDH 1999-III). Elle ne saurait renoncer pour autant à son pouvoir de contrôle, en vertu duquel il lui appartient de vérifier que l’équilibre voulu a été préservé de manière compatible avec le droit des requérants au respect de leurs biens, au sens de la première phrase de l’article 1 du Protocole n o 1 ( Jahn et autres c. Allemagne [GC], n os 46720/99, 72203/01 et 72552/01, § 93, à paraître dans CEDH 2005). 42. Afin de déterminer si la mesure litigieuse respecte le « juste équilibre » voulu et, notamment, si elle ne fait pas peser sur les requérants une charge disproportionnée, il y a lieu de prendre en considération les modalités d’indemnisation prévues par la législation interne. A cet égard, la Cour a déjà dit que, sans le versement d’une somme raisonnablement en rapport avec la valeur du bien, une privation de propriété constitue normalement une atteinte excessive. Un défaut total d’indemnisation ne saurait se justifier sur le terrain de l’article 1 du Protocole n o 1 que dans des circonstances exceptionnelles ( Les Saints Monastères , p. 35, § 71, Ex-Roi de Grèce et autres , § 89, arrêts précités). Cette disposition ne garantit pas dans tous les cas le droit à une réparation intégrale ( James et autres , arrêt précité, p. 36, § 54 ; Broniowski c. Pologne [GC], n o 31443/96, § 182, CEDH 2004-V). 43. S’il est vrai que dans de nombreux cas d’expropriation licite, comme l’expropriation isolée d’un terrain en vue de la construction d’une route ou à d’autres fins « d’utilité publique », seule une indemnisation intégrale peut être considérée comme raisonnablement en rapport avec la valeur du bien, cette règle n’est toutefois pas sans exception ( Ex-roi de Grèce et autres c. Grèce [GC] (satisfaction équitable), n o 25701/94, § 78). 44. Des objectifs légitimes « d’utilité publique », tels qu’en poursuivent des mesures de réforme économique ou de justice sociale, peuvent militer pour un remboursement inférieur à la pleine valeur marchande ( Scordino c. Italie (n o 1) , précité, §§ 93-97). 45. En l’espèce, il n’est pas contesté que l’ingérence litigieuse ait satisfait à la condition de légalité et poursuivait un but légitime d’utilité publique. Dès lors, il reste à rechercher si, dans le cadre d’une privation de propriété licite, la requérante a eu à supporter une charge disproportionnée et excessive. 46. La Cour constate que l’indemnisation accordée à la requérante a été calculée en fonction de l’article 5 bis de la loi n o 359 de 1992. Elle note que ces critères s’appliquent quels que soient l’ouvrage public à réaliser et le contexte de l’expropriation. La Cour rappelle qu’elle n’a pas pour tâche de contrôler dans l’abstrait la législation litigieuse ; elle doit se borner autant que possible à examiner les problèmes soulevés par les requérants pour le cas dont on l’a saisie. A cette fin, elle doit, en l’espèce, se pencher sur la loi susmentionnée dans la mesure où la requérante s’en prend aux répercussions de celle-ci sur ses biens ( Les Saints Monastères c. Grèce , arrêt précité, § 55). 47. En l’occurrence, le montant définitif de l’indemnisation fut fixé à 106 503 EUR, alors que la valeur marchande du terrain estimée à la date de l’expropriation était de 208 197 EUR (paragraphes 13 et 15 ci-dessus). Il en résulte que l’indemnité d’expropriation est largement inférieure à la valeur marchande du bien en question. En outre, ce montant a été ultérieurement taxé à hauteur de 20 % (paragraphe 17 ci-dessus). 48. Il s’agit en l’espèce d’un cas d’expropriation isolée, qui ne se situe pas dans un contexte de réforme économique, sociale ou politique et ne se rattache à aucune autre circonstance particulière. Par conséquent, la Cour n’aperçoit aucun objectif légitime « d’utilité publique » pouvant justifier un remboursement tellement inférieur à la valeur marchande. 49. Eu égard à l’ensemble des considérations qui précèdent, la Cour estime que l’indemnisation accordée à la requérante n’était pas adéquate, vu son faible montant et l’absence de raisons d’utilité publique pouvant légitimer une indemnisation tellement inférieure à la valeur marchande du bien. Il s’ensuit que l’intéressée a dû supporter une charge disproportionnée et excessive qui ne peut être justifiée par un intérêt général légitime poursuivi par les autorités ( Scordino c. Italie (n o 1), précité, §§ 99-103). 50. Partant, il y a eu violation de l’article 1 du Protocole n o 1. II. SUR LA VIOLATION ALLÉGUÉE DE L’ARTICLE 6 § 1 DE LA CONVENTION EN RAISON DE L’ABSENCE D’ÉQUITÉ DE LA PROCÉDURE 51. La requérante allègue que l’adoption et l’application de l’article</w:t>
      </w:r>
    </w:p>
    <w:p>
      <w:r>
        <w:rPr>
          <w:b/>
        </w:rPr>
        <w:t>E. 5</w:t>
      </w:r>
    </w:p>
    <w:p>
      <w:r>
        <w:t>bis de la loi n o 359 de 1992 à sa procédure constitue une ingérence législative contraire à son droit à un procès équitable tel que garanti par l’article 6 § 1 de la Convention qui, en ses passages pertinents, dispose : « 1. Toute personne a droit à ce que sa cause soit entendue équitablement (...) par un tribunal (...), qui décidera (...) des contestations sur ses droits et obligations de caractère civil (...) ». A. Sur la recevabilité 52. La Cour constate que ce grief n’est pas manifestement mal fondé au sens de l’article 35 § 3 de la Convention et ne se heurte à aucun autre motif d’irrecevabilité. Il y a donc lieu de le déclarer recevable. B. Sur le fond 1. Thèses des parties 53. Réitérant ses arguments dans l’affaire Scordino ( Scordino c. Italie (n o 1) , précité, §§ 118-125), le Gouvernement conteste en premier lieu que la nouvelle loi ait eu une application rétroactive, puisqu’elle se bornerait, après avoir modifié l’état du droit, à le rendre immédiatement applicable aux instances en cours, selon un principe couramment appliqué. En tout état de cause, le Gouvernement soutient que la Convention n’interdit pas la rétroactivité des lois et donc, à supposer qu’il y ait une ingérence législative, celle-ci relèverait de la marge d’appréciation laissée aux États et serait justifiée. 54. Le Gouvernement observe ensuite qu’au moment du versement de l’acompte sur l’indemnité, en mars 1983, les critères introduits par la loi n o 865 de 1971 et repris par la loi n o 385 de 1980 étaient encore en vigueur, la décision déclarant cette dernière loi inconstitutionnelle n’étant intervenue que le 15 juillet 1983. Or, les critères d’indemnisation déclarés inconstitutionnels étaient moins favorables à la requérante que ceux introduits par l’article 5 bis de la loi n o 359 de 1992. 55. Le Gouvernement soutient que la loi critiquée par la requérante est une loi budgétaire qui s’inscrit dans le processus politique commencé en 1971, qui tend à s’écarter de la loi générale sur l’expropriation de 1865 pour aller au-delà des principes dépassés d’une économie libérale. Sous cet angle, les déclarations d’inconstitutionnalité auraient créé « un vide » puisque le fait que la loi de 1865 redéployait ses effets ne correspondait pas aux exigences de politique économique et sociale qui guidaient le législateur. De ce point de vue, l’article 5 bis aurait donc comblé une lacune. 56. Enfin, le Gouvernement observe que l’article 5 bis n’a pas été adopté pour influencer le dénouement de la procédure intentée par la requérante. 57. Il en conclut que l’application de la disposition litigieuse à la cause de la requérante ne soulève aucun problème au regard de la Convention. A l’appui de ses thèses, le Gouvernement se réfère spécifiquement aux arrêts Forrer-Niedenthal c. Allemagne (n o 47316/99, 20 février 2003), OGIS-Institut Stanislas, OGEC Saint-Pie X et Blanche de Castille et autres c. France (n os 42219/98 et 54563/00, 27 mai 2004) et Bäck c. Finlande , (n o 37598/97, CEDH 2004-VIII). 58. La requérante dénonce une ingérence du pouvoir législatif dans le fonctionnement du pouvoir judiciaire, en raison de l’adoption et de l’application à son égard de l’article 5 bis de la loi n o 359 de 1992. Elle se plaint notamment de ne pas avoir bénéficié d’un procès équitable en ce que, lorsqu’il a été décidé du montant de son indemnité d’expropriation, la question soumise aux tribunaux nationaux a été tranchée par le législateur et non par le pouvoir judiciaire. 2. Appréciation de la Cour 59. La Cour réaffirme que si, en principe, il n’est pas interdit au pouvoir législatif de réglementer en matière civile, par de nouvelles dispositions à portée rétroactive, des droits découlant de lois en vigueur, le principe de la prééminence du droit et la notion de procès équitable consacrés par l’article</w:t>
      </w:r>
    </w:p>
    <w:p>
      <w:r>
        <w:rPr>
          <w:b/>
        </w:rPr>
        <w:t>E. 6</w:t>
      </w:r>
    </w:p>
    <w:p>
      <w:r>
        <w:t>de la Convention s’opposent, sauf pour d’impérieux motifs d’intérêt général, à l’ingérence du pouvoir législatif dans l’administration de la justice dans le but d’influer sur le dénouement judiciaire du litige ( Zielinski et Pradal &amp; Gonzales c. France [GC], n os 24846/94 et 34165/96 à 34173/96, § 57, CEDH 1999-VII ; Raffineries grecques Stran et Stratis Andreadis c. Grèce , arrêt du 9 décembre 1994, série A n o 301-B ; Papageorgiou c. Grèce , arrêt du 22 octobre 1997, Recueil 1997-VI). 60. La Cour observe qu’avant l’entrée en vigueur de l’article 5 bis de la loi n o 359 de 1992, eu égard aux arrêts rendus par la Cour constitutionnelle italienne le 25 janvier 1980 et le 15 juillet 1983, la loi applicable au cas d’espèce était la loi n o 2359 de 1865, qui prévoyait, en son article 39, le droit d’être indemnisé à concurrence de la pleine valeur marchande du bien. En conséquence de la disposition critiquée, la requérante a subi une diminution substantielle de son indemnisation. A cet égard, la Cour rappelle qu’elle vient de constater que l’indemnisation accordée à la requérante n’était pas adéquate, vu son faible montant et l’absence de raisons d’utilité publique pouvant justifier une indemnisation tellement inférieure à la valeur marchande du bien (paragraphe 49 ci-dessus). 61. En modifiant le droit applicable aux indemnisations résultant des expropriations en cours et aux procédures judiciaires pendantes y relatives, à l’exception de celles où le principe de l’indemnisation a fait l’objet d’une décision irrévocable, l’article 5 bis de la loi n o 359 de 1992 a appliqué un régime nouveau d’indemnisation à des faits dommageables qui étaient antérieurs à son entrée en vigueur et avaient déjà donné lieu à des créances en réparation – et même à des procédures pendantes à cette date –, produisant ainsi un effet rétroactif. 62. Sans doute l’applicabilité aux indemnisations en cours et aux procédures pendantes ne saurait-elle, en soi, constituer un problème au regard de la Convention, le législateur n’étant pas, en principe, empêché d’intervenir en matière civile pour modifier l’état du droit par une loi immédiatement applicable ( OGIS-Institut Stanislas, OGEC Saint-Pie X et Blanche de Castille et autres c. France , n os 42219/98 et 54563/00, § 61, 27mai 2004 ; Zielinski et Pradal &amp; Gonzalez et autres c. France [GC], n os 24846/94 et 34165/96 à 34173/96, § 57, CEDH 1999-VII). 63. Cependant, en l’espèce, l’article 5 bis a simplement supprimé rétroactivement une partie essentielle des créances en indemnisation, de montants élevés, que les propriétaires de terrains expropriés, tels que la requérante, auraient pu réclamer aux expropriants. A cet égard, la Cour rappelle qu’elle vient de constater que l’indemnisation accordée aux requérants n’était pas adéquate, vu son faible montant et l’absence de raisons d’utilité publique pouvant justifier une indemnisation inférieure à la valeur marchande du bien ( Scordino c. Italie (n o 1) , précité, §§126-131). 64. Pour la Cour, le Gouvernement n’a pas démontré que les considérations invoquées par lui – à savoir des considérations budgétaires et la volonté du législateur de mettre en œuvre un programme politique – permettaient de faire ressortir l’« intérêt général évident et impérieux » requis pour justifier l’effet rétroactif, qu’elle a reconnu dans les affaires citées par le Gouvernement (paragraphe 57 ci-dessus). 65. Partant, il y a eu violation de l’article 6 § 1 de la Convention. III. SUR LA VIOLATION ALLÉGUÉE DE L’ARTICLE 6 § 1 DE LA CONVENTION EN RAISON DE LA DURÉE EXCESSIVE DE LA PROCÉDURE 66. Invoquant l’article 6 § 1 de la Convention, la requérante se plaint de la durée de la procédure devant le tribunal d’Ancône. Elle fait valoir que l’indemnisation reçue par la cour d’appel ne constitue pas une réparation suffisante. La disposition invoquée, dans ses parties pertinentes, se lit ainsi : « Toute personne a droit à ce que sa cause soit entendue (...) dans un délai raisonnable, par un tribunal (...) qui décidera (...) des contestations sur ses droits et obligations de caractère civil (...) » 67. Le Gouvernement conteste cette thèse. A. Sur la recevabilité 1. Non-épuisement des voies de recours internes 68. Le Gouvernement soulève une exception de non-épuisement des voies de recours internes en affirmant que la requérante ne s’est pas pourvue en cassation pour contester la décision de la cour d’appel. 69. La Cour rappelle qu’elle a rejeté des exceptions semblables dans l’affaire Delle Cave et Corrado c. Italie (n o 14626/03, §§ 17-24, 5 juin 2007). Elle n’aperçoit aucun motif de déroger à ses précédentes conclusions et rejette donc l’exception du Gouvernement. 2. Qualité de « victime » 70. Afin de savoir si un requérant peut se prétendre « victime » au sens de l’article 34 de la Convention, il y a lieu en premier lieu d’examiner si les autorités nationales ont reconnu puis réparé de manière appropriée et suffisante la violation litigieuse (voir, entre autres, Delle Cave et Corrado c. Italie , précité, §§ 25 ‑ 31 ; Cocchiarella c. Italie [GC], n o 64886/01 , §§ 69-98, CEDH- ...). 71. La Cour, après avoir examiné l’ensemble des faits de la cause et les arguments des parties, considère que le redressement s’est révélé insuffisant et que la requérante peut toujours se prétendre « victime » au sens de l’article 34 de la Convention. 72. La Cour constate que ce grief n’est pas manifestement mal fondé au sens de l’article 35 § 3 de la Convention et ne se heurte à aucun autre motif d’irrecevabilité. B. Sur le fond 73. La Cour estime que la période à considérer a commencé le 16 mai 1986, avec l’assignation de la municipalité devant le tribunal d’Ancône, pour s’achever le 27 novembre 2001, date du dépôt au greffe du texte du jugement. Elle a donc duré plus de quinze ans et six mois pour un degré de juridiction. 74. Après avoir examiné les faits à la lumière des informations fournies par les parties et compte tenu de sa jurisprudence en la matière, la Cour estime qu’en l’espèce, la durée de la procédure litigieuse est excessive et ne répond pas à l’exigence du « délai raisonnable ». Partant, il y a eu violation de l’article 6 § 1. IV. SUR L’APPLICATION DE L’ARTICLE 41 DE LA CONVENTION 75.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76. Pour le préjudice matériel, la requérante réclame une somme correspondant à la différence entre la valeur marchande du terrain au moment de l’expropriation et l’indemnité obtenue conformément à l’article 5 bis de la loi n o 359 de 1992, ainsi que le remboursement de l’impôt de 20 % qui a été appliqué sur l’indemnité d’expropriation. Dès lors, elle demande 122 994,43 EUR, plus indexation et intérêts calculés à partir de 1983. 77. Pour le préjudice moral, la requérante demande 12 000 EUR, moins le dédommagement de 2 324 EUR accordé par la cour d’appel dans le cadre de la procédure Pinto. 78. Le Gouvernement s’oppose aux prétentions de la requérante. Il soutient que la satisfaction équitable pour le préjudice matériel devra être certainement inférieure à la valeur marchande du terrain. Quant au dommage moral, le Gouvernement considère la somme réclamée par la requérante exorbitante et s’en remet à la sagesse de la Cour. 79. Au sujet du dommage matériel, la Cour rappelle qu’un arrêt constatant une violation entraîne pour l’État défendeur l’obligation juridique de mettre un terme à la violation et d’en effacer les conséquences de manière à rétablir autant que faire se peut la situation antérieure à celle-ci ( Iatridis c. Grèce (satisfaction équitable) [GC], n o 31107/96, § 32, CEDH 2000-XI). 80. En l’espèce, quant à l’article 1 du Protocole n o 1, la Cour a dit que l’ingérence litigieuse satisfaisait à la condition de légalité et n’était pas arbitraire (paragraphe 45 ci-dessus). L’acte du gouvernement italien qu’elle a tenu pour contraire à la Convention était une expropriation qui eût été légitime si une indemnisation adéquate avait été versée. En outre, la Cour a constaté que l’application rétroactive de l’article 5 bis de la loi n o 359 de 1992 avait privé la requérante de la possibilité offerte par l’article 39 de la loi n o 2359 de 1865, applicable en l’espèce, d’obtenir une indemnisation à hauteur de la valeur marchande du bien (paragraphe 60 ci-dessus). 81. S’inspirant des critères généraux énoncés dans sa jurisprudence relative à l’article 1 du Protocole n o 1 ( Scordino c. Italie (n o 1) précité, §§ 93-98 ; Stornaiuolo c. Italie , n o 52980/99, § 61, 8 août 2006 ; Mason et autres c. Italie (satisfaction équitable), n o 43663/98, § 38, 24 juillet 2007), la Cour estime que l’indemnité d’expropriation adéquate en l’espèce aurait dû correspondre à la valeur marchande du bien au moment de la privation de celui-ci. 82. Elle accorde par conséquent une somme correspondant à la différence entre la valeur du terrain à l’époque de l’expropriation, telle que ressort des expertises d’office effectuées au cours de la procédure nationale (208 197 EUR en 1983, voir paragraphe 13 ci-dessus) et sur lesquelles la requérante fonde ses prétentions, et l’indemnité obtenue au niveau national, plus indexation et intérêts susceptibles de compenser, au moins en partie, le long laps de temps s’étant écoulé depuis la dépossession du terrain. Aux yeux de la Cour, ces intérêts doivent correspondre à l’intérêt légal simple appliqué sur le capital progressivement réévalué. Quant à l’impôt de 20 % appliqué à l’indemnité d’expropriation, la Cour n’a pas conclu à l’illégalité de l’application de cet impôt en tant que telle mais a pris en compte cet élément dans l’appréciation de la cause ( Scordino c. Italie (n o 1) , précité, § 258). 83. Compte tenu de ces éléments, et statuant en équité, la Cour estime raisonnable d’accorder à la requérante la somme de 500 000 EUR, plus tout montant pouvant être dû à titre d’impôt sur cette somme, pour préjudice matériel. 84. S’agissant du préjudice moral, compte tenu des circonstances de la cause, et statuant en équité, la Cour accorde en entier la somme demandée par la requérante à ce titre, soit 9 676 EUR. B. Frais et dépens 85. Justificatifs à l’appui, la requérante réclame également 37 233 EUR pour les frais et dépens encourus devant la Cour. 86. Le Gouvernement s’y oppose. 87. Selon la jurisprudence de la Cour, un requérant ne peut obtenir le remboursement de ses frais et dépens que dans la mesure où se trouvent établis leur réalité, leur nécessité et le caractère raisonnable de leur taux. Compte tenu des circonstances de la cause, la Cour, statuant en équité, alloue à la requérante 10 000 EUR pour les frais exposés à Strasbourg, plus tout montant pouvant être dû au titre d’impôt sur cette somme. C. Intérêts moratoires 88.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