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interkonnektion-2009-2010-colt-vs-swisscom-2010-12-13-ae882c vom 13. Dezember 2010</w:t>
      </w:r>
    </w:p>
    <w:p>
      <w:r>
        <w:t>ComCom, 2010-12-13, DE</w:t>
      </w:r>
    </w:p>
    <w:p>
      <w:r>
        <w:rPr>
          <w:b/>
        </w:rPr>
        <w:t xml:space="preserve">Quelle: </w:t>
      </w:r>
      <w:r>
        <w:t>https://mcp.opencaselaw.ch/entscheid/comcom_interkonnektion-2009-2010-colt-vs-swisscom-2010-12-13-ae882c</w:t>
      </w:r>
    </w:p>
    <w:p>
      <w:r>
        <w:t>FR: COMCOM interkonnektion-2009-2010-colt-vs-swisscom-2010-12-13-ae882c du 13 décembre 2010</w:t>
      </w:r>
    </w:p>
    <w:p>
      <w:r>
        <w:t>IT: COMCOM interkonnektion-2009-2010-colt-vs-swisscom-2010-12-13-ae882c del 13 dicembre 2010</w:t>
      </w:r>
    </w:p>
    <w:p>
      <w:pPr>
        <w:pStyle w:val="Heading2"/>
      </w:pPr>
      <w:r>
        <w:t>Erwägungen</w:t>
      </w:r>
    </w:p>
    <w:p>
      <w:r>
        <w:rPr>
          <w:b/>
        </w:rPr>
        <w:t>E. 1</w:t>
      </w:r>
    </w:p>
    <w:p>
      <w:r>
        <w:t>Verfahrensvoraussetzungen ..................................................................................... 9</w:t>
      </w:r>
    </w:p>
    <w:p>
      <w:r>
        <w:rPr>
          <w:b/>
        </w:rPr>
        <w:t>E. 1.1</w:t>
      </w:r>
    </w:p>
    <w:p>
      <w:r>
        <w:t>Allgemein Als Verwaltungsverfahren vor einer Bundesbehörde sind die Zugangsverfahren nach Art. 11a des Fernmeldegesetzes vom 30. April 1997 (FMG; SR 784.10) gemäss den Bestim- mungen des Bundesgesetzes über das Verwaltungsverfahren vom 20. Dezember 1968 (VwVG; SR 172.021) abzuwickeln, soweit das FMG spezialgesetzlich nicht nähere Be- stimmungen enthält (Art. 1 Abs. 2 Bst. d und Art. 4 VwVG).</w:t>
      </w:r>
    </w:p>
    <w:p>
      <w:r>
        <w:rPr>
          <w:b/>
        </w:rPr>
        <w:t>E. 1.2</w:t>
      </w:r>
    </w:p>
    <w:p>
      <w:r>
        <w:t>Zuständigkeit Gemäss Art. 11a FMG verfügt die ComCom bei Streitigkeiten über den Zugang auf Ge- such einer Partei und auf Antrag des BAKOM die Bedingungen des Zugangs. Streitigkei- ten aus Vereinbarungen und Verfügungen über den Zugang werden hingegen durch die Zivilgerichte beurteilt (Art. 11b FMG). Vorliegend sind sich die Parteien in ihren Vertragsverhandlungen betreffend die Bedin- gungen der Interkonnektion über verschiedene Preise nicht einig geworden. Für diese beantragt die Gesuchstellerin die verfügungsweise Festlegung durch die ComCom. Dabei handelt es sich um Streitigkeiten über die Bedingungen des Zugangs gemäss Art. 11a FMG, sodass die ComCom für die Behandlung des Gesuchs vom 30. April 2009 zustän- 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1997, S. 60). Die Gesuchstellerin stellt in ihrem Gesuch vom 29. Mai 2009 das Rechtsbegehren, es seien für die von ihr gekennzeichneten Interkonnektionsdienstleistungen aus dem Ange- bot der Gesuchsgegnerin mit Wirkung ab dem 1. Januar 2009 bis zur Rechtskraft des Entscheides transparente, nicht diskriminierende und kostenorientierte Preise gemäss Art. 11 FMG i.V.m. Art. 52 ff. FDV festzulegen. Bezüglich der Rechtsbegehren, welche die Gesuchsgegnerin in ihrer Stellungnahme vom 17. Juli 2009 stellt, ist festzuhalten, dass diese keinen Einfluss auf den Verfahrensge-</w:t>
      </w:r>
    </w:p>
    <w:p>
      <w:r>
        <w:t>10/82</w:t>
      </w:r>
    </w:p>
    <w:p>
      <w:r>
        <w:t>genstand haben und insoweit nur für die Verlegung allfälliger Verfahrenskosten relevant sein können. In zeitlicher Hinsicht ist sodann zu beachten, dass die Gesuchstellerin mit ihrem Gesuch vom 29. Mai 2009 die Überprüfung und Festsetzung der strittigen Preise aus dem damals gültigen Price Manual der Gesuchsgegnerin verlangt und sie dessen Preise als nicht ge- setzmässig der ComCom zur Beurteilung unterbreitet. Dieses Preishandbuch betraf die Preise für das Jahr 2009. Für die Preise des Jahres 2010 wurde das Manual gestützt auf Art. 53 der Verordnung über Fernmeldedienste vom 9. März 2007 (FDV; SR 784.101.1) in einer neuen Version publik gemacht. Da die Gesuchstellerin ihr Gesuch vom 29. Mai 2009 gegen die Preise für das Jahr 2009 einreichte, könnte sich die Frage stellen, ob die Ge- suchstellerin bezüglich der Preise für das Jahr 2010 ein neues Gesuch hätte einreichen müssen. Dies ist zu verneinen. Es entspricht der konstanten und vom Bundesverwal- tungsgericht mit Entscheid A-3277/2007 vom 7. November 2007 sanktionierten Praxis der ComCom, als Verfahrensgegenstand die Zugangsbedingungen für die gesamte Dauer des Verfahrens bis zum Entscheiddatum zu betrachten. Die Gesuchstellerin beantragt sodann, dass bei verschiedenen Transitdienstleistungen die so genannten Third Party Costs kostenorientiert festgesetzt werden. Sie führt dazu aus, die Gesuchsgegnerin sei im Bereich des Transits verpflichtet, der Gesuchstellerin die Third Party Costs gemäss den von der ComCom regulierten Terminierungspreisen in Rechnung zu stellen. Sie begründet dies damit, dass die von der ComCom verfügten Preise aufgrund des Reziprozitätsprinzips für den Verkehr zwischen den beteiligten Par- teien gelte, wenn es um den Austausch von reguliertem Verkehr gehe. Die Gesuchsgeg- nerin habe sich geweigert, die von der ComCom verfügten und aufgrund des Reziprozi- tätsprinzips geltenden tieferen Terminierungspreise weiterzugeben, weil der Transit nicht reguliert sei. Die Gesuchsgegnerin verkenne dabei jedoch, dass es nicht um die Frage der Regulierung der Transitkosten gehe, sondern um den Transitcase und schlicht um die Anwendung des Reziprozitätsgrundsatzes. Aus diesem Gründen verlangt die Gesuchstel- lerin einerseits die kostenorientierte Festsetzung der Third Party Costs und andererseits eine Ergänzung in der Preisliste der Gesuchsgegnerin, wonach für für Third Party Costs, soweit es sich um regulierte Leistungen handle, maximal die von der ComCom verfügten Preise in Rechnung gestellt werden dürfen. In ihrer Gesuchsantwort vom 8. Juni 2009 widersetzt sich die Gesuchsgegnerin dem An- trag der Gesuchstellerin nicht grundsätzlich. Sie bringt jedoch vor, es bestehe kein An- lass, unter dem Titel der Third Party Cost tiefere als die von der ComCom verfügten Ter- minierungspreise in Rechnung zu stellen. Entsprechend wäre gestützt auf den Antrag der Gesuchstellerin festzuhalten, dass für die Third Party Cost, soweit damit regulierte (Ter- minierungs-)Leistungen abgegolten werden, die von der ComCom verfügten Terminie- rungspreise in Rechnung zu stellen seien. Die Gesuchsgegnerin führt sodann aus, dass sie der Gesuchstellerin stets vorläufig die aktuellen Preise gemäss Handbuch Preise in Rechnung stelle, solange keine Verfügung der ComCom ergangen sei. Hinsichtlich der Third Party Cost sei nie eine Verfügung ergangen, weshalb insofern auch keine Rückzah- lungen erfolgt seien.</w:t>
      </w:r>
    </w:p>
    <w:p>
      <w:r>
        <w:t>11/82</w:t>
      </w:r>
    </w:p>
    <w:p>
      <w:r>
        <w:t>Im Rahmen der Abgeltung von Transitdienstleistungen erhebt die transitierende FDA von der zahlungspflichtigen FDA neben dem Transitentgelt auch die so genannte Third Party Cost, mit welcher die Terminierungs- oder Originierungsleistung der beteiligten Drittpartei abgegolten wird. Diese Komponente des Gesamtentgelts leitet die transitierende FDA sodann an die berechtigte Partei weiter. Die Third Party Cost wird prinzipiell von der betei- ligten Dritt-FDA und der transitierenden FDA festgelegt. Es handelt sich bei ihr nicht um ein Entgelt für den Zugang zu den Diensten der marktbeherrschenden Anbieterin sondern um die zwischen der Gesuchsgegnerin und ihren Geschäftspartnern vereinbarte Abgel- tung für Originierungs- respektive Terminierungsleistungen, welche im Falle eines Tran- sitdienstes als Third Party Costs weiterverrechnet wird. Wie das Beispiel der Transitdiens- te zu Mobilfunknetzen zeigt, muss die Third Party Cost nicht für jede Anbieterin gleich hoch festgesetzt sein. So wäre es denn auch nicht möglich, dass die ComCom in einem Zugangsverfahren über die Third Party Costs indirekt die Mobilterminierungspreise regu- lieren würde.</w:t>
      </w:r>
    </w:p>
    <w:p>
      <w:r>
        <w:rPr>
          <w:b/>
        </w:rPr>
        <w:t>E. 1.4</w:t>
      </w:r>
    </w:p>
    <w:p>
      <w:r>
        <w:t>Rechtsschutzinteresse ...................................................................................... 12</w:t>
      </w:r>
    </w:p>
    <w:p>
      <w:r>
        <w:rPr>
          <w:b/>
        </w:rPr>
        <w:t>E. 1.5</w:t>
      </w:r>
    </w:p>
    <w:p>
      <w:r>
        <w:t>Verhandlungsfrist .............................................................................................. 16</w:t>
      </w:r>
    </w:p>
    <w:p>
      <w:r>
        <w:rPr>
          <w:b/>
        </w:rPr>
        <w:t>E. 1.6</w:t>
      </w:r>
    </w:p>
    <w:p>
      <w:r>
        <w:t>Formular für Zugangsgesuche .......................................................................... 16</w:t>
      </w:r>
    </w:p>
    <w:p>
      <w:r>
        <w:rPr>
          <w:b/>
        </w:rPr>
        <w:t>E. 1.7</w:t>
      </w:r>
    </w:p>
    <w:p>
      <w:r>
        <w:t>Fazit ................................................................................................................... 16</w:t>
      </w:r>
    </w:p>
    <w:p>
      <w:r>
        <w:rPr>
          <w:b/>
        </w:rPr>
        <w:t>E. 1.8</w:t>
      </w:r>
    </w:p>
    <w:p>
      <w:r>
        <w:t>Verfahrensanträge ............................................................................................. 16</w:t>
      </w:r>
    </w:p>
    <w:p>
      <w:r>
        <w:rPr>
          <w:b/>
        </w:rPr>
        <w:t>E. 2</w:t>
      </w:r>
    </w:p>
    <w:p>
      <w:r>
        <w:t>Pflicht zur Gewährung des Zugangs, Marktbeherrschung ................................... 17</w:t>
      </w:r>
    </w:p>
    <w:p>
      <w:r>
        <w:rPr>
          <w:b/>
        </w:rPr>
        <w:t>E. 2.1</w:t>
      </w:r>
    </w:p>
    <w:p>
      <w:r>
        <w:t>Usage Charces</w:t>
      </w:r>
    </w:p>
    <w:p>
      <w:r>
        <w:rPr>
          <w:b/>
        </w:rPr>
        <w:t>E. 2.1.1</w:t>
      </w:r>
    </w:p>
    <w:p>
      <w:r>
        <w:t>Terminating Services - Swisscom Fix Terminating Service</w:t>
      </w:r>
    </w:p>
    <w:p>
      <w:r>
        <w:rPr>
          <w:b/>
        </w:rPr>
        <w:t>E. 2.1.2</w:t>
      </w:r>
    </w:p>
    <w:p>
      <w:r>
        <w:t>Access Service - Swisscom Fix to Selected Carrier (PTS) Access Service</w:t>
      </w:r>
    </w:p>
    <w:p>
      <w:r>
        <w:rPr>
          <w:b/>
        </w:rPr>
        <w:t>E. 2.1.2.1</w:t>
      </w:r>
    </w:p>
    <w:p>
      <w:r>
        <w:t>Swisscom Fix to PTS INA VAS Access Service - Swisscom FIX to PTS Freephone Services Access Service - Swisscom Publifon® to PTS Freephone Services Access Service • Network Access Charge - Swisscom Publifon® to PTS Freephone Services Access Service, Variant A • Network Access Charge - Swisscom Fix to PTS 090x Services Access Service - Swisscom Fix to PTS 084x, 0878 Services Access Service - Swisscom Fix to PTS 18XY Directory Enquiry Services Access Service</w:t>
      </w:r>
    </w:p>
    <w:p>
      <w:r>
        <w:rPr>
          <w:b/>
        </w:rPr>
        <w:t>E. 2.1.2.2</w:t>
      </w:r>
    </w:p>
    <w:p>
      <w:r>
        <w:t>Swisscom Fix to PTS non INA VAS Access Service - Swisscom FIX to PTS 058x Services Access Service</w:t>
      </w:r>
    </w:p>
    <w:p>
      <w:r>
        <w:t>5/82</w:t>
      </w:r>
    </w:p>
    <w:p>
      <w:r>
        <w:rPr>
          <w:b/>
        </w:rPr>
        <w:t>E. 2.1.3</w:t>
      </w:r>
    </w:p>
    <w:p>
      <w:r>
        <w:t>Transit Services - Swisscom Transit Termination Service to Fixed Line Cust. • 3rd Party Cost - Swisscom Transit from fixed Line Cust. To Selected Carrier Access Service • 3rd Party Cost</w:t>
      </w:r>
    </w:p>
    <w:p>
      <w:r>
        <w:rPr>
          <w:b/>
        </w:rPr>
        <w:t>E. 2.1.3.1</w:t>
      </w:r>
    </w:p>
    <w:p>
      <w:r>
        <w:t>Swisscom Transit to PTS INA VAS Access Services - Swisscom Transit to PTS 090x Services Access Service • 3rd Party Cost - Swisscom Transit to PTS 084x, 0878 Services Access Service • 3rd Party Cost - Swisscom Transit to PTS 18XY Directory Enquiry Services Access Service • 3rd Party Cost - International Incoming Transit to PTS INA Value Added Services Access Service • Transit</w:t>
      </w:r>
    </w:p>
    <w:p>
      <w:r>
        <w:rPr>
          <w:b/>
        </w:rPr>
        <w:t>E. 2.1.3.2</w:t>
      </w:r>
    </w:p>
    <w:p>
      <w:r>
        <w:t>Swisscom Transit to PTS non INA VAS Access Service - Swisscom Transit to PTS 058x Services Access Service • 3rd Party Cost - International Incoming Transit to PTS 058x Services Access Service • Transit</w:t>
      </w:r>
    </w:p>
    <w:p>
      <w:r>
        <w:rPr>
          <w:b/>
        </w:rPr>
        <w:t>E. 2.1.4</w:t>
      </w:r>
    </w:p>
    <w:p>
      <w:r>
        <w:t>Non INA Value-Added Services - PTS to Swisscom 058x Access Service</w:t>
      </w:r>
    </w:p>
    <w:p>
      <w:r>
        <w:t>Die Gesuchsgegnerin äusserte sich mit Stellungnahme vom 17. Juli 2009 zum Gesuch. Sie stellt folgende Anträge:</w:t>
      </w:r>
    </w:p>
    <w:p>
      <w:r>
        <w:t>6/82</w:t>
      </w:r>
    </w:p>
    <w:p>
      <w:r>
        <w:t>I. Rechtsbegehren 1. Es seien für das Jahr 2009 die Preise gemäss Beilage 1 zu verfügen (blau markierte Dienste und Preise). 2. a) Bezüglich der von der Gesuchstellerin eingeklagten Transit to (…) Access Services (Ziffer 2.1.3.1, 4. Lemma sowie Ziffer 2.1.3.2, 2. Lemma des Rechtsbegehrens der Ge- suchstellerin) sei auf das Gesuch nicht einzutreten.</w:t>
      </w:r>
    </w:p>
    <w:p>
      <w:r>
        <w:t>b) Eventualiter sei das Gesuch bezüglich der von der Gesuchstellerin eingeklagten Transit to (…) Access Services (Ziffer 2.1.3.1, 4. Lemma sowie Ziffer 2.1.3.2, 2. Lemma des Rechtsbegehrens der Gesuchstellerin) abzuweisen. II. Verfahrensanträge 3. a) Sollte auf das Gesuch bezüglich der Transit to (…) Access Services (Ziffer 2.1.3.1, 4. Lemma sowie Ziffer 2.1.3.2, 2. Lemma des Rechtsbegehrens der Gesuchstellerin) ent- gegen dem Rechtsbegehren 2.a eingetreten werden, sei das Verfahren diesbezüglich bis zum Vorliegen eines rechtskräftigen Entscheides über die Marktstellung von Swiss- com bei diesen Diensten zu sistieren.</w:t>
      </w:r>
    </w:p>
    <w:p>
      <w:r>
        <w:t>b) Sollte Swisscom bezüglich der Transit to (…) Access Services (Ziffer 2.1.3.1, 4. Lemma sowie Ziffer 2.1.3.2, 2. Lemma des Rechtsbegehrens der Gesuchstellerin) mit- tels rechtskräftigem Entscheid in dem vor Bundesverwaltungsgericht hängigen Verfah- ren als marktbeherrschend qualifiziert werden, sei ihr eine angemessene Frist anzuset- zen, um für diese Dienste kostenorientierte Preise zu beantragen und den Kosten- nachweis zu erbringen. 4. Sollte das Verfahren bezüglich der Transit to (…) Access Services (Ziffer 2.1.3.1, 4. Lemma sowie Ziffer 2.1.3.2, 2. Lemma des Rechtsbegehrens der Gesuchstellerin) ent- gegen dem Verfahrensantrag 3.a) nicht sistiert werden, sei der massgebliche Sachver- halt abzuklären und die Wettbewerbskommission (WEKO) mit einer neuen Begutach- tung der Marktverhältnisse zu beauftragen, beides unter Wahrung der Mitwirkungsrech- te von Swisscom bei der Sachverhaltsfeststellung sowie der Instruktion der WEKO.</w:t>
      </w:r>
    </w:p>
    <w:p>
      <w:r>
        <w:t>Zudem reichte die Gesuchsgegnerin am 17. Juli 2009 ihren Kostennachweis ein. Mit Schreiben vom 22. Juli 2009 gab das BAKOM der Gesuchstellerin Gelegenheit, sich zu den Verfahrensanträgen der Gesuchsgegnerin zu äussern. Die Gesuchstellerin bean- tragte am 4. August 2009 die Abweisung der Verfahrensanträge. Am 1. März 2010 informierte das BAKOM die Verfahrensparteien, dass das Bundesver- waltungsgericht mit Urteil vom 19. Februar 2010 die Beschwerde der Gesuchsgegnerin gegen den Entscheid der ComCom vom 9. Oktober 2008 betreffend festgestellter markt- beherrschender Stellung im Bereich Transit to (…) Access Services (TAS) abgewiesen hat und sich deshalb eine Beurteilung der Verfahrensanträge der Gesuchsgegnerin erüb- rigt. Der Gesuchstellerin stellte das BAKOM zudem vier Schreiben der Gesuchsgegnerin vom 15. Juli 2009, vom 19. August 2009, vom 16. September 2009 und vom 9. Oktober 2009 zu, mit welchen diese im Rahmen von parallel laufenden Verfahren Zusatzinformati- onen zum Kostennachweis abgab. Die Gesuchsgegnerin wurde im Schreiben vom 1. März 2010 sodann aufgefordert, den Kostennachweis für das Jahr 2010 zu erbringen und denjenigen für das Jahr 2009 bezüglich der Dienste Transit to (…) Access zu ergänzen.</w:t>
      </w:r>
    </w:p>
    <w:p>
      <w:r>
        <w:t>7/82</w:t>
      </w:r>
    </w:p>
    <w:p>
      <w:r>
        <w:t>Mit Datum vom 23. März 2010 gab die Gesuchsgegnerin die geforderten Unterlagen zu den Kostennachweisen zu den Akten. Am 29. März fand bei der Gesuchsgegnerin ein Instruktionstreffen zwischen Vertreterin- nen und Vertretern der instruierenden Behörden und der Gesuchsgegnerin statt. Mit Eingabe vom 12. April 2010 gab die Gesuchsgegnerin präzisierende Angaben zum Kostennachweis bezüglich der Dienste Transit to (…) Access zu den Akten. Am 15. April 2010 fand bei der Gesuchsgegnerin eine Schulung für den Umgang mit dem neuen Kostenmodel statt, an welcher eine Vertreterin und drei Vertreter des BAKOM teil- nahmen. Die Parteien äusserten sich mit Datum vom 22. April 2010 zu den erbrachten respektive bezogenen Leistungen. Das BAKOM unterbreitete am 2. Juni 2010 dem Preisüberwacher seine vorläufige Ein- schätzung zur Streitsache und ersuchte diesen um seine Stellungnahme gemäss Art. 15 des Preisüberwachungsgesetzes vom 20. Dezember 1985 (PüG; SR 942.20). Der Preisüberwacher äusserte sich mit Stellungnahme vom 30. Juni 2010 zur vorläufigen Einschätzung des BAKOM. Am 1. Juli 2010 setzte das BAKOM den Parteien Frist zur Einreichung einer Schlussstel- lungnahme bis zum 23. Juli 2010. Mit Eingabe vom 9. Juli 2010 gelangte die Gesuchsgegnerin an das BAKOM und bean- tragte die Sistierung des Verfahrens und die Aussetzung der Frist für die Einreichung ei- ner Schlussstellungnahme. Eventualiter beantragte sie, die Frist zur Einreichung einer Schlussstellungnahme sei bis zum 20. August 2010 zu erstrecken. Das BAKOM lehnte das Sistierungsgesuch mit Verfügung vom 15. Juli 2010 ab und er- streckte die Frist zur Einreichung einer Schlussstellungnahme bis zum 13. August 2010. Die Parteien reichten am 12. und am 13. August 2010 ihre Schlussstellungnahmen ein. Die Gesuchstellerin stellt in ihrer Eingabe den Antrag, in Bezug auf die Anrufe aus dem Ausland die Transitgebühr von Belgacom International Carrier Services AG zur Gesuch- stellerin auf CHF 0.00 festzulegen, die Access Rate ebenfalls auf CHF 0.00 festzulegen und für die Terminierung die für die Terminierung von geographischen Nummern festge- legten Terminierungsgebühren zu verfügen. Die Gesuchsgegnerin erhielt am 18. August 2010 Gelegenheit, ihre Schlussstellungnah- me bis zum 25. August 2010 bezüglich zweier Anpassungen am Kostennachweis in der vorläufigen Einschätzung an den Preisüberwacher zu ergänzen.</w:t>
      </w:r>
    </w:p>
    <w:p>
      <w:r>
        <w:t>8/82</w:t>
      </w:r>
    </w:p>
    <w:p>
      <w:r>
        <w:t>Am 30. August 2010 reichte die Gesuchsgegnerin eine Replik zur Schlussstellungnahme der Gesuchstellerin ein. In dieser beantragt sie, auf das Begehren von der Gesuchstellerin in deren Schlussstellungnahme sei nicht einzutreten, eventualiter sei es abzuweisen. Mit Schreiben vom 10. September 2010 wurde die Gesuchsgegnerin aufgefordert, ver- schiedene Fragen im Zusammenhang mit dem so genannten „NON-INA-VAS Regime“ zu beantworten. Die Gesuchsgegnerin kam dieser Aufforderung mit Eingabe vom 1. Oktober 2010 nach. Auf die konkreten Vorbringen der Parteien wird, soweit entscheidrelevant, in den nachfol- genden Erwägungen eingegangen.</w:t>
      </w:r>
    </w:p>
    <w:p>
      <w:r>
        <w:t>9/82</w:t>
      </w:r>
    </w:p>
    <w:p>
      <w:r>
        <w:t>II. Erwägungen 1 Verfahrensvoraussetzungen</w:t>
      </w:r>
    </w:p>
    <w:p>
      <w:r>
        <w:rPr>
          <w:b/>
        </w:rPr>
        <w:t>E. 3</w:t>
      </w:r>
    </w:p>
    <w:p>
      <w:r>
        <w:t>Nachweis kostenorientierter Preise ........................................................................ 18</w:t>
      </w:r>
    </w:p>
    <w:p>
      <w:r>
        <w:rPr>
          <w:b/>
        </w:rPr>
        <w:t>E. 3.1</w:t>
      </w:r>
    </w:p>
    <w:p>
      <w:r>
        <w:t>Kostennachweis in formeller Hinsicht ................................................................ 18</w:t>
      </w:r>
    </w:p>
    <w:p>
      <w:r>
        <w:rPr>
          <w:b/>
        </w:rPr>
        <w:t>E. 3.1.1</w:t>
      </w:r>
    </w:p>
    <w:p>
      <w:r>
        <w:t>Gesetzliche Grundlagen ................................................................................ 18</w:t>
      </w:r>
    </w:p>
    <w:p>
      <w:r>
        <w:rPr>
          <w:b/>
        </w:rPr>
        <w:t>E. 3.1.2</w:t>
      </w:r>
    </w:p>
    <w:p>
      <w:r>
        <w:t>Das Kostenmodell der Gesuchsgegnerin ...................................................... 18</w:t>
      </w:r>
    </w:p>
    <w:p>
      <w:r>
        <w:rPr>
          <w:b/>
        </w:rPr>
        <w:t>E. 3.1.3</w:t>
      </w:r>
    </w:p>
    <w:p>
      <w:r>
        <w:t>Herleitung der Preise aus COSMOS ............................................................. 22</w:t>
      </w:r>
    </w:p>
    <w:p>
      <w:r>
        <w:rPr>
          <w:b/>
        </w:rPr>
        <w:t>E. 3.1.4</w:t>
      </w:r>
    </w:p>
    <w:p>
      <w:r>
        <w:t>Beurteilung des Kostennachweises in formeller Hinsicht .............................. 22</w:t>
      </w:r>
    </w:p>
    <w:p>
      <w:r>
        <w:rPr>
          <w:b/>
        </w:rPr>
        <w:t>E. 3.1.5</w:t>
      </w:r>
    </w:p>
    <w:p>
      <w:r>
        <w:t>Transparenz des Kostennachweises ............................................................ 23</w:t>
      </w:r>
    </w:p>
    <w:p>
      <w:r>
        <w:rPr>
          <w:b/>
        </w:rPr>
        <w:t>E. 3.2</w:t>
      </w:r>
    </w:p>
    <w:p>
      <w:r>
        <w:t>Kostennachweis in materieller Hinsicht ............................................................. 26</w:t>
      </w:r>
    </w:p>
    <w:p>
      <w:r>
        <w:rPr>
          <w:b/>
        </w:rPr>
        <w:t>E. 3.2.1</w:t>
      </w:r>
    </w:p>
    <w:p>
      <w:r>
        <w:t>Gesetzliche Grundlagen ................................................................................ 26</w:t>
      </w:r>
    </w:p>
    <w:p>
      <w:r>
        <w:rPr>
          <w:b/>
        </w:rPr>
        <w:t>E. 3.2.2</w:t>
      </w:r>
    </w:p>
    <w:p>
      <w:r>
        <w:t>Modell der bestreitbaren Märkte (Contestable Markets) ............................... 26</w:t>
      </w:r>
    </w:p>
    <w:p>
      <w:r>
        <w:rPr>
          <w:b/>
        </w:rPr>
        <w:t>E. 3.2.3</w:t>
      </w:r>
    </w:p>
    <w:p>
      <w:r>
        <w:t>Berechnung der Kosten auf aktueller Basis (Forward Looking) .................... 28</w:t>
      </w:r>
    </w:p>
    <w:p>
      <w:r>
        <w:rPr>
          <w:b/>
        </w:rPr>
        <w:t>E. 3.2.4</w:t>
      </w:r>
    </w:p>
    <w:p>
      <w:r>
        <w:t>Stellungnahme Preisüberwacher .................................................................. 29</w:t>
      </w:r>
    </w:p>
    <w:p>
      <w:r>
        <w:rPr>
          <w:b/>
        </w:rPr>
        <w:t>E. 3.2.5</w:t>
      </w:r>
    </w:p>
    <w:p>
      <w:r>
        <w:t>Beurteilung des Kostennachweises in materieller Hinsicht ........................... 30</w:t>
      </w:r>
    </w:p>
    <w:p>
      <w:r>
        <w:rPr>
          <w:b/>
        </w:rPr>
        <w:t>E. 4</w:t>
      </w:r>
    </w:p>
    <w:p>
      <w:r>
        <w:t>Anpassungen am Kostennachweis ........................................................................ 30</w:t>
      </w:r>
    </w:p>
    <w:p>
      <w:r>
        <w:rPr>
          <w:b/>
        </w:rPr>
        <w:t>E. 4.1</w:t>
      </w:r>
    </w:p>
    <w:p>
      <w:r>
        <w:t>Vorbemerkungen ............................................................................................... 30</w:t>
      </w:r>
    </w:p>
    <w:p>
      <w:r>
        <w:rPr>
          <w:b/>
        </w:rPr>
        <w:t>E. 4.2</w:t>
      </w:r>
    </w:p>
    <w:p>
      <w:r>
        <w:t>Anpassungen am Preisgerüst ........................................................................... 32</w:t>
      </w:r>
    </w:p>
    <w:p>
      <w:r>
        <w:rPr>
          <w:b/>
        </w:rPr>
        <w:t>E. 4.2.1</w:t>
      </w:r>
    </w:p>
    <w:p>
      <w:r>
        <w:t>Ingenieurhonorar ........................................................................................... 32</w:t>
      </w:r>
    </w:p>
    <w:p>
      <w:r>
        <w:rPr>
          <w:b/>
        </w:rPr>
        <w:t>E. 4.2.2</w:t>
      </w:r>
    </w:p>
    <w:p>
      <w:r>
        <w:t>Logistikzuschläge .......................................................................................... 32</w:t>
      </w:r>
    </w:p>
    <w:p>
      <w:r>
        <w:rPr>
          <w:b/>
        </w:rPr>
        <w:t>E. 4.2.3</w:t>
      </w:r>
    </w:p>
    <w:p>
      <w:r>
        <w:t>Glasfaserspleissungen .................................................................................. 35</w:t>
      </w:r>
    </w:p>
    <w:p>
      <w:r>
        <w:rPr>
          <w:b/>
        </w:rPr>
        <w:t>E. 4.2.4</w:t>
      </w:r>
    </w:p>
    <w:p>
      <w:r>
        <w:t>Indexierung Tiefbau ....................................................................................... 37</w:t>
      </w:r>
    </w:p>
    <w:p>
      <w:r>
        <w:rPr>
          <w:b/>
        </w:rPr>
        <w:t>E. 4.3</w:t>
      </w:r>
    </w:p>
    <w:p>
      <w:r>
        <w:t>Anpassungen am Mengengerüst und an den Allokationsschlüsseln ................ 37</w:t>
      </w:r>
    </w:p>
    <w:p>
      <w:r>
        <w:rPr>
          <w:b/>
        </w:rPr>
        <w:t>E. 4.3.1</w:t>
      </w:r>
    </w:p>
    <w:p>
      <w:r>
        <w:t>Forecast PSTN- und ISDN-Anschlussleitungen ............................................ 38</w:t>
      </w:r>
    </w:p>
    <w:p>
      <w:r>
        <w:rPr>
          <w:b/>
        </w:rPr>
        <w:t>E. 4.3.2</w:t>
      </w:r>
    </w:p>
    <w:p>
      <w:r>
        <w:t>Anpassung der Nachfrage nach Intelligent Network Leistungen ................... 43</w:t>
      </w:r>
    </w:p>
    <w:p>
      <w:r>
        <w:rPr>
          <w:b/>
        </w:rPr>
        <w:t>E. 4.3.3</w:t>
      </w:r>
    </w:p>
    <w:p>
      <w:r>
        <w:t>Glasfaser-Spleissungen in gemeinsam genutzter Kanalisation .................... 50</w:t>
      </w:r>
    </w:p>
    <w:p>
      <w:r>
        <w:rPr>
          <w:b/>
        </w:rPr>
        <w:t>E. 4.4</w:t>
      </w:r>
    </w:p>
    <w:p>
      <w:r>
        <w:t>Anpassungen an Preisänderungsraten (Delta-P) .............................................. 55</w:t>
      </w:r>
    </w:p>
    <w:p>
      <w:r>
        <w:rPr>
          <w:b/>
        </w:rPr>
        <w:t>E. 4.4.1</w:t>
      </w:r>
    </w:p>
    <w:p>
      <w:r>
        <w:t>Delta-P Glasfasern ........................................................................................ 55</w:t>
      </w:r>
    </w:p>
    <w:p>
      <w:r>
        <w:t>3/82</w:t>
      </w:r>
    </w:p>
    <w:p>
      <w:r>
        <w:rPr>
          <w:b/>
        </w:rPr>
        <w:t>E. 4.4.2</w:t>
      </w:r>
    </w:p>
    <w:p>
      <w:r>
        <w:t>Delta-P Tiefbau ............................................................................................. 56</w:t>
      </w:r>
    </w:p>
    <w:p>
      <w:r>
        <w:rPr>
          <w:b/>
        </w:rPr>
        <w:t>E. 4.4.3</w:t>
      </w:r>
    </w:p>
    <w:p>
      <w:r>
        <w:t>Delta-P Vermittlungstechnikanlagen ............................................................. 60</w:t>
      </w:r>
    </w:p>
    <w:p>
      <w:r>
        <w:rPr>
          <w:b/>
        </w:rPr>
        <w:t>E. 4.5</w:t>
      </w:r>
    </w:p>
    <w:p>
      <w:r>
        <w:t>Anpassungen an Abschreibungsdauern ........................................................... 62</w:t>
      </w:r>
    </w:p>
    <w:p>
      <w:r>
        <w:rPr>
          <w:b/>
        </w:rPr>
        <w:t>E. 4.6</w:t>
      </w:r>
    </w:p>
    <w:p>
      <w:r>
        <w:t>Anpassungen am Kapitalkostensatz WACC ..................................................... 63</w:t>
      </w:r>
    </w:p>
    <w:p>
      <w:r>
        <w:rPr>
          <w:b/>
        </w:rPr>
        <w:t>E. 4.7</w:t>
      </w:r>
    </w:p>
    <w:p>
      <w:r>
        <w:t>Anpassungen an den Betriebskosten ................................................................ 65</w:t>
      </w:r>
    </w:p>
    <w:p>
      <w:r>
        <w:rPr>
          <w:b/>
        </w:rPr>
        <w:t>E. 4.7.1</w:t>
      </w:r>
    </w:p>
    <w:p>
      <w:r>
        <w:t>Verwaltungs- und Vertriebskosten (VVGK) ................................................... 65</w:t>
      </w:r>
    </w:p>
    <w:p>
      <w:r>
        <w:rPr>
          <w:b/>
        </w:rPr>
        <w:t>E. 4.7.2</w:t>
      </w:r>
    </w:p>
    <w:p>
      <w:r>
        <w:t>Anpassungen an den Stundensätzen ........................................................... 67</w:t>
      </w:r>
    </w:p>
    <w:p>
      <w:r>
        <w:rPr>
          <w:b/>
        </w:rPr>
        <w:t>E. 4.8</w:t>
      </w:r>
    </w:p>
    <w:p>
      <w:r>
        <w:t>Weitere Anpassungen ....................................................................................... 74</w:t>
      </w:r>
    </w:p>
    <w:p>
      <w:r>
        <w:rPr>
          <w:b/>
        </w:rPr>
        <w:t>E. 4.8.1</w:t>
      </w:r>
    </w:p>
    <w:p>
      <w:r>
        <w:t>Betriebsenergiepreis ..................................................................................... 74</w:t>
      </w:r>
    </w:p>
    <w:p>
      <w:r>
        <w:rPr>
          <w:b/>
        </w:rPr>
        <w:t>E. 4.8.2</w:t>
      </w:r>
    </w:p>
    <w:p>
      <w:r>
        <w:t>Methodik zur Berechnung des Preises für die Mitbenutzung der Kabelkanalisationen ................................................................................................... 76</w:t>
      </w:r>
    </w:p>
    <w:p>
      <w:r>
        <w:rPr>
          <w:b/>
        </w:rPr>
        <w:t>E. 5</w:t>
      </w:r>
    </w:p>
    <w:p>
      <w:r>
        <w:t>Preisfestsetzung ....................................................................................................... 77 III. Kosten .................................................................................................................. 79</w:t>
      </w:r>
    </w:p>
    <w:p>
      <w:r>
        <w:t>4/82</w:t>
      </w:r>
    </w:p>
    <w:p>
      <w:r>
        <w:t>I. Prozessgeschichte Mit Datum vom 29. Mai 2009 reichte die Colt Telecom Services AG (Gesuchstellerin) beim Bundesamt für Kommunikation (BAKOM) zuhanden der Eidgenössischen Kommuni- kationskommission (ComCom) ein Gesuch um Erlass einer Zugangsverfügung gegen die Swisscom (Schweiz) AG (Gesuchsgegnerin) ein. Sie stellte darin folgende Rechtsbegeh- ren: 1. Feststellung der Interkonnektionspreise Es sei im Verhältnis zwischen der Gesuchstellerin und der Gesuchsgegnerin mit Wirkung ab dem 1. Januar 2009 bis zur Rechtskraft des Entscheides für die in der nachfolgenden Liste aufgeführten Interkonnektionsdienstleistungen gemäss Price Manual Version 7-1 der Gesuchsgegnerin, transpa- rente, nicht diskriminierende und kostenorientierte Preise gemäss Art. 11 FMG in Verbindung mit Art. 52 ff. FDV festzulegen: 2.</w:t>
      </w:r>
    </w:p>
    <w:p>
      <w:r>
        <w:t>Liste der Interkonnektionsdienstleistungen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