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interconnect-peering-vorsorgliche-massnahme-zwischenverfügung-init7-vs-swisscom-2013-06-11-5efcee vom 11. Juni 2013</w:t>
      </w:r>
    </w:p>
    <w:p>
      <w:r>
        <w:t>ComCom, 2013-06-11, DE</w:t>
      </w:r>
    </w:p>
    <w:p>
      <w:r>
        <w:rPr>
          <w:b/>
        </w:rPr>
        <w:t xml:space="preserve">Quelle: </w:t>
      </w:r>
      <w:r>
        <w:t>https://mcp.opencaselaw.ch/entscheid/comcom_interconnect-peering-vorsorgliche-massnahme-zwischenverfügung-init7-vs-swisscom-2013-06-11-5efcee</w:t>
      </w:r>
    </w:p>
    <w:p>
      <w:r>
        <w:t>FR: COMCOM interconnect-peering-vorsorgliche-massnahme-zwischenverfügung-init7-vs-swisscom-2013-06-11-5efcee du 11 juin 2013</w:t>
      </w:r>
    </w:p>
    <w:p>
      <w:r>
        <w:t>IT: COMCOM interconnect-peering-vorsorgliche-massnahme-zwischenverfügung-init7-vs-swisscom-2013-06-11-5efcee del 11 giugno 2013</w:t>
      </w:r>
    </w:p>
    <w:p>
      <w:pPr>
        <w:pStyle w:val="Heading2"/>
      </w:pPr>
      <w:r>
        <w:t>Erwägungen</w:t>
      </w:r>
    </w:p>
    <w:p>
      <w:r>
        <w:rPr>
          <w:b/>
        </w:rPr>
        <w:t>E. 1</w:t>
      </w:r>
    </w:p>
    <w:p>
      <w:r>
        <w:t>Es sei die Gesuchsgegnerin zu verpflichten, der Gesuchstellerin nachfolgenden Zugang zu gewähren: a. Datenaustausch (Peering) zwischen dem Internet Backbone AS3303 der Gesuchsgegne- rin mit dem Internet Backbone AS13030 der Gesuchstellerin, sowohl für IPv4 wie auch für lPv6. b. Datenaustausch (Peering) zwischen dem mobilen Netzwerk der Gesuchsgegnerin mit dem Internet Backbone AS13030 der Gesuchstellerin. c. Anzahl Leitungen: 2 (Genf und Zürich). d. Geschwindigkeit: Pro Leitung 10 Gigabit pro Sekunde. e. Ohne jeglichen Ratelimiter. f. Die Gesuchsgegnerin muss alle Prefixe wie zu anderen Peering Partnern propagieren, insbesondere auch alle More-Specific Prefixe, die für die Privatkundenbasis in Benut- zung sind. g. die von der Gesuchstellerin propagierten Prefixe müssen mit MED 200000 oder besser markiert werden (wie beim Stand 22. Februar 2012). h. Der Zugang ist unentgeltlich zu gewähren. i. Überschreitet der ausgetauschte Traffic 50 % der Nennkapazität basierend auf der 95- percentile Messung (Monatsabrechnung), wird die Gesuchsgegnerin verpflichtet, koope- rativ mit der Gesuchstellerin zusätzliche Kapazität an den branchenüblichen Interkonnek- tionspunkten zu erstellen. Die notwendigen Verkabelungskosten werden dabei für jeden zusätzlichen Link abwechslungsweise von der Gesuchstellerin und der Gesuchsgegnerin getragen.1</w:t>
      </w:r>
    </w:p>
    <w:p>
      <w:r>
        <w:rPr>
          <w:b/>
        </w:rPr>
        <w:t>E. 2</w:t>
      </w:r>
    </w:p>
    <w:p>
      <w:r>
        <w:t>Die Verfügung gemäss Rechtsbegehren Nr. 1 sei als vorsorgliche Massnahme zu erlassen, unter Androhung der Bestrafung ihrer verantwortlichen Organe nach Art. 292 im Unterlas- sungsfall.</w:t>
      </w:r>
    </w:p>
    <w:p>
      <w:r>
        <w:rPr>
          <w:b/>
        </w:rPr>
        <w:t>E. 3</w:t>
      </w:r>
    </w:p>
    <w:p>
      <w:r>
        <w:t>Unter Kosten- und Entschädigungsfolge zu Lasten der Gesuchsgegnerin</w:t>
      </w:r>
    </w:p>
    <w:p>
      <w:r>
        <w:t>1 Asymmetrisch ist einzig das Verbindungskabel, deren Kosten jeweils von einer Partei getragen werden (je nach Interkonnektionspunkt zwischen 0 und € 2000.00 einmalig und/oder € 0 und € 300.00 pro Monat). Deshalb auch die abwechselnden Kabelkosten.</w:t>
      </w:r>
    </w:p>
    <w:p>
      <w:r>
        <w:t>3/14</w:t>
      </w:r>
    </w:p>
    <w:p>
      <w:r>
        <w:t>Die Gesuchsgegnerin äusserte sich mit Stellungnahme vom 7. Mai 2013 zum Gesuch auf Erlass von vorsorglichen Massnahmen. Sie stellt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