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plication des signes: vom 17. Dezember 1982</w:t>
      </w:r>
    </w:p>
    <w:p>
      <w:r>
        <w:t>Bundesverwaltung, 1982-12-17, DE</w:t>
      </w:r>
    </w:p>
    <w:p>
      <w:r>
        <w:rPr>
          <w:b/>
        </w:rPr>
        <w:t xml:space="preserve">Quelle: </w:t>
      </w:r>
      <w:r>
        <w:t>https://mcp.opencaselaw.ch/entscheid/ch_vb_plication_des_signes__</w:t>
      </w:r>
    </w:p>
    <w:p>
      <w:r>
        <w:t>FR: CH_VB plication des signes: du 17 décembre 1982</w:t>
      </w:r>
    </w:p>
    <w:p>
      <w:r>
        <w:t>IT: CH_VB plication des signes: del 17 dicembre 1982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(12 séances) Séance de /'Assemblée fédérale (Chambres réunies) : 8 décembre Aperçu général Divers x 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