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8 mars 1999 vom 30. März 1999</w:t>
      </w:r>
    </w:p>
    <w:p>
      <w:r>
        <w:t>Bundesverwaltung, 1999-03-30, DE</w:t>
      </w:r>
    </w:p>
    <w:p>
      <w:r>
        <w:rPr>
          <w:b/>
        </w:rPr>
        <w:t xml:space="preserve">Quelle: </w:t>
      </w:r>
      <w:r>
        <w:t>https://mcp.opencaselaw.ch/entscheid/ch_vb_du_8_mars_1999</w:t>
      </w:r>
    </w:p>
    <w:p>
      <w:r>
        <w:t>FR: CH_VB du 8 mars 1999 du 30 mars 1999</w:t>
      </w:r>
    </w:p>
    <w:p>
      <w:r>
        <w:t>IT: CH_VB du 8 mars 1999 del 30 marzo 1999</w:t>
      </w:r>
    </w:p>
    <w:p>
      <w:pPr>
        <w:pStyle w:val="Heading2"/>
      </w:pPr>
      <w:r>
        <w:t>Erwägungen</w:t>
      </w:r>
    </w:p>
    <w:p>
      <w:r>
        <w:rPr>
          <w:b/>
        </w:rPr>
        <w:t>E. 1</w:t>
      </w:r>
    </w:p>
    <w:p>
      <w:r>
        <w:t>Un crédit de programme de 900 millions de francs est accordé pour une période minimale de quatre ans, en vue de soutenir le processus de réforme en Europe de l'Est et dans les Etats de la CEI (Communauté des Etats indépendants). La période de crédit débute le 1er janvier 1999.</w:t>
      </w:r>
    </w:p>
    <w:p>
      <w:r>
        <w:rPr>
          <w:b/>
        </w:rPr>
        <w:t>E. 2</w:t>
      </w:r>
    </w:p>
    <w:p>
      <w:r>
        <w:t>Concernant la Bosnie, il conviendra de mettre en œuvre, à la fin du programme spécial et en se fondant sur les enseignements tirés de ces expériences, un pro- gramme national spécial dans le cadre de 50 millions de francs.</w:t>
      </w:r>
    </w:p>
    <w:p>
      <w:r>
        <w:rPr>
          <w:b/>
        </w:rPr>
        <w:t>E. 3</w:t>
      </w:r>
    </w:p>
    <w:p>
      <w:r>
        <w:t>Volume Volume Heft 12 Cahier Numero Geschäftsnummer --- Numéro d'affaire Numero dell'oggetto Datum 30.03.1999 Date Data Seite 2372-2372 Page Pagina Ref. No 10 109 776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