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du 7 octobre 1994 vom 7. Oktober 1994</w:t>
      </w:r>
    </w:p>
    <w:p>
      <w:r>
        <w:t>Bundesverwaltung, 1994-10-07, DE</w:t>
      </w:r>
    </w:p>
    <w:p>
      <w:r>
        <w:rPr>
          <w:b/>
        </w:rPr>
        <w:t xml:space="preserve">Quelle: </w:t>
      </w:r>
      <w:r>
        <w:t>https://mcp.opencaselaw.ch/entscheid/ch_vb_du_7_octobre_1994</w:t>
      </w:r>
    </w:p>
    <w:p>
      <w:r>
        <w:t>FR: CH_VB du 7 octobre 1994 du 7 octobre 1994</w:t>
      </w:r>
    </w:p>
    <w:p>
      <w:r>
        <w:t>IT: CH_VB du 7 octobre 1994 del 7 ottobre 1994</w:t>
      </w:r>
    </w:p>
    <w:p>
      <w:pPr>
        <w:pStyle w:val="Heading2"/>
      </w:pPr>
      <w:r>
        <w:t>Erwägungen</w:t>
      </w:r>
    </w:p>
    <w:p>
      <w:r>
        <w:rPr>
          <w:b/>
        </w:rPr>
        <w:t>E. 2</w:t>
      </w:r>
    </w:p>
    <w:p>
      <w:r>
        <w:t>Les dispositions législatives, les arrêtés fédéraux de portée générale relatifs aux subventions ainsi que les crédits d'engagement et les plafonds de dépenses qui entraînent de nouvelles dépenses uniques de plus de 20 millions de francs ou de nouvelles dépenses périodiques de plus de 2 millions de francs doivent cependant être adoptés à la majorité de tous les membres dans chaque conseil.</w:t>
      </w:r>
    </w:p>
    <w:p>
      <w:r>
        <w:rPr>
          <w:b/>
        </w:rPr>
        <w:t>E. 3</w:t>
      </w:r>
    </w:p>
    <w:p>
      <w:r>
        <w:t>Volume Volume Heft 41 Cahier Numero Geschäftsnummer --- Numéro d'affaire Numero dell'oggetto Datum 18.10.1994 Date Data Seite 1783-1783 Page Pagina Ref. No 10 107 937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