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27 février 1998 vom 27. Februar 1998</w:t>
      </w:r>
    </w:p>
    <w:p>
      <w:r>
        <w:t>Bundesverwaltung, 1998-02-27, DE</w:t>
      </w:r>
    </w:p>
    <w:p>
      <w:r>
        <w:rPr>
          <w:b/>
        </w:rPr>
        <w:t xml:space="preserve">Quelle: </w:t>
      </w:r>
      <w:r>
        <w:t>https://mcp.opencaselaw.ch/entscheid/ch_vb_du_27_f_vrier_1998</w:t>
      </w:r>
    </w:p>
    <w:p>
      <w:r>
        <w:t>FR: CH_VB du 27 février 1998 du 27 février 1998</w:t>
      </w:r>
    </w:p>
    <w:p>
      <w:r>
        <w:t>IT: CH_VB du 27 février 1998 del 27 febbraio 1998</w:t>
      </w:r>
    </w:p>
    <w:p>
      <w:pPr>
        <w:pStyle w:val="Heading2"/>
      </w:pPr>
      <w:r>
        <w:t>Erwägungen</w:t>
      </w:r>
    </w:p>
    <w:p>
      <w:r>
        <w:rPr>
          <w:b/>
        </w:rPr>
        <w:t>E. 2</w:t>
      </w:r>
    </w:p>
    <w:p>
      <w:r>
        <w:t>Les dispositions conventionnelles déclarées obligatoires s'appliquent directement à tous les employeurs et travailleurs des entreprises dans les secteurs de la serrurerie, de la construction métallique, des machines agricoles et de la forge pour autant que ceS entreprises comptent au maximum 50 travailleurs soumis à la convention étendue. Sont exclues les entreprises de la ferblanterie et de l'installation sanitaire ainsi que les entreprises de l'industrie des machines et des métaux qui sont membres de l'association patronale suisse de l'industries des machines (ASM). Sont en outre exceptés: a. Les apprentis au sens de la loi fédérale sur la formation professionnelle; b. Les cadres supérieurs; c. Le personnel commercial; d. Le personnel technique d'entreprise; e. Les membres de famille des employeurs.</w:t>
      </w:r>
    </w:p>
    <w:p>
      <w:r>
        <w:rPr>
          <w:b/>
        </w:rPr>
        <w:t>E. 3</w:t>
      </w:r>
    </w:p>
    <w:p>
      <w:r>
        <w:t>FF 1993 I 93 1006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du 27 février 1998 In Bundesblatt Dans Feuille fédérale In Foglio federale Jahr 1998 Année Anno Band 1 Volume Volume Heft 10 Cahier Numero Geschäftsnummer --- Numéro d'affaire Numero dell'oggetto Datum 17.03.1998 Date Data Seite 1005-1006 Page Pagina Ref. No 10 109 355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