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12 mars 1999 vom 30. März 1999</w:t>
      </w:r>
    </w:p>
    <w:p>
      <w:r>
        <w:t>Bundesverwaltung, 1999-03-30, DE</w:t>
      </w:r>
    </w:p>
    <w:p>
      <w:r>
        <w:rPr>
          <w:b/>
        </w:rPr>
        <w:t xml:space="preserve">Quelle: </w:t>
      </w:r>
      <w:r>
        <w:t>https://mcp.opencaselaw.ch/entscheid/ch_vb_du_12_mars_1999</w:t>
      </w:r>
    </w:p>
    <w:p>
      <w:r>
        <w:t>FR: CH_VB du 12 mars 1999 du 30 mars 1999</w:t>
      </w:r>
    </w:p>
    <w:p>
      <w:r>
        <w:t>IT: CH_VB du 12 mars 1999 del 30 marzo 1999</w:t>
      </w:r>
    </w:p>
    <w:p>
      <w:pPr>
        <w:pStyle w:val="Heading2"/>
      </w:pPr>
      <w:r>
        <w:t>Erwägungen</w:t>
      </w:r>
    </w:p>
    <w:p>
      <w:r>
        <w:rPr>
          <w:b/>
        </w:rPr>
        <w:t>E. 1</w:t>
      </w:r>
    </w:p>
    <w:p>
      <w:r>
        <w:t>L'extension s'applique sur tout le territoire suisse, à l'exception du canton de Fri- bourg.</w:t>
      </w:r>
    </w:p>
    <w:p>
      <w:r>
        <w:rPr>
          <w:b/>
        </w:rPr>
        <w:t>E. 2</w:t>
      </w:r>
    </w:p>
    <w:p>
      <w:r>
        <w:t>Elle s'applique dans les relations de travail entre les entreprises dans le domaine au sens large du meuble, du meuble rembourré, et à tous ceux qui fabriquent des meu- bles de bureau et des lits en série, et leurs travailleurs/travailleuses qualifiés, semi- qualifiés et non qualifiés. N'en font pas partie: - Les chefs d'entreprises et les collaborateurs ayant une procuration au sens du CO, articles 458 et 462. - Les apprentis soumis à la législation fédérale en matière de formation pro- fessionnelle.</w:t>
      </w:r>
    </w:p>
    <w:p>
      <w:r>
        <w:rPr>
          <w:b/>
        </w:rPr>
        <w:t>E. 3</w:t>
      </w:r>
    </w:p>
    <w:p>
      <w:r>
        <w:t>FF 1995 I 394</w:t>
      </w:r>
    </w:p>
    <w:p>
      <w:r>
        <w:rPr>
          <w:b/>
        </w:rPr>
        <w:t>E. 4</w:t>
      </w:r>
    </w:p>
    <w:p>
      <w:r>
        <w:t>FF 1996 I 477</w:t>
      </w:r>
    </w:p>
    <w:p>
      <w:r>
        <w:rPr>
          <w:b/>
        </w:rPr>
        <w:t>E. 5</w:t>
      </w:r>
    </w:p>
    <w:p>
      <w:r>
        <w:t>FF 1997 III 1075</w:t>
      </w:r>
    </w:p>
    <w:p>
      <w:r>
        <w:rPr>
          <w:b/>
        </w:rPr>
        <w:t>E. 6</w:t>
      </w:r>
    </w:p>
    <w:p>
      <w:r>
        <w:t>FF 1998 176 2376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du 12 mars 1999 In Bundesblatt Dans Feuille fédérale In Foglio federale Jahr 1999 Année Anno Band 3 Volume Volume Heft 12 Cahier Numero Geschäftsnummer --- Numéro d'affaire Numero dell'oggetto Datum 30.03.1999 Date Data Seite 2375-2376 Page Pagina Ref. No</w:t>
      </w:r>
    </w:p>
    <w:p>
      <w:r>
        <w:rPr>
          <w:b/>
        </w:rPr>
        <w:t>E. 10</w:t>
      </w:r>
    </w:p>
    <w:p>
      <w:r>
        <w:t>109 779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