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2000-2810 113 vom 28. Dezember 2000</w:t>
      </w:r>
    </w:p>
    <w:p>
      <w:r>
        <w:t>Bundesverwaltung, 2000-12-28, DE</w:t>
      </w:r>
    </w:p>
    <w:p>
      <w:r>
        <w:rPr>
          <w:b/>
        </w:rPr>
        <w:t xml:space="preserve">Quelle: </w:t>
      </w:r>
      <w:r>
        <w:t>https://mcp.opencaselaw.ch/entscheid/ch_vb_ad_2000-2810_113</w:t>
      </w:r>
    </w:p>
    <w:p>
      <w:r>
        <w:t>FR: CH_VB ad 2000-2810 113 du 28 décembre 2000</w:t>
      </w:r>
    </w:p>
    <w:p>
      <w:r>
        <w:t>IT: CH_VB ad 2000-2810 113 del 28 dicembre 2000</w:t>
      </w:r>
    </w:p>
    <w:p>
      <w:pPr>
        <w:pStyle w:val="Heading2"/>
      </w:pPr>
      <w:r>
        <w:t>Erwägungen</w:t>
      </w:r>
    </w:p>
    <w:p>
      <w:r>
        <w:rPr>
          <w:b/>
        </w:rPr>
        <w:t>E. 1</w:t>
      </w:r>
    </w:p>
    <w:p>
      <w:r>
        <w:t>La décision d’extension s’applique sur tout le territoire de la Confédération suisse, à l’exception du canton de Bâle-Campagne et des secteurs de la serrurerie et de la construction métallique dans les cantons du Valais, de Vaud et Genève.</w:t>
      </w:r>
    </w:p>
    <w:p>
      <w:r>
        <w:rPr>
          <w:b/>
        </w:rPr>
        <w:t>E. 2</w:t>
      </w:r>
    </w:p>
    <w:p>
      <w:r>
        <w:t>Les dispositions conventionnelles déclarées obligatoires s’appliquent directement à tous les employeurs et travailleurs des entreprises dans les secteurs de la serrurerie, de la construction métallique, des machines agricoles, de la forge et de la construc- tion d’acier pour autant que ces entreprises comptent au maximum 50 travailleurs soumis à la convention étendue. Sont exclues les entreprises de la ferblanterie et de l’installation sanitaire ainsi que les entreprises de l’industrie des machines et des métaux qui sont membres de l’association patronale suisse de l’industries des machines (ASM). Sont en outre exceptés: a. Les apprentis au sens de la loi fédéral sur la formation professionnelle; b. Les cadres supérieurs; c. Le personnel commercial; d. Le personnel technique d’entreprise; e. Les membres de famille des employeurs.</w:t>
      </w:r>
    </w:p>
    <w:p>
      <w:r>
        <w:rPr>
          <w:b/>
        </w:rPr>
        <w:t>E. 03</w:t>
      </w:r>
    </w:p>
    <w:p>
      <w:r>
        <w:t>Cahier Numero Geschäftsnummer --- Numéro d'affaire Numero dell'oggetto Datum 23.01.2001 Date Data Seite 113-114 Page Pagina Ref. No 10 125 115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Les clauses étendues, énumérées ci-après, s’appliquent aussi aux rapports de travail entre les employeurs ayant leur siège respectivement à l’étranger ou hors du champ d’application territorial décrit à l’al. 1 et leurs travailleurs, pour autant qu’ils remplissent les conditions posées par l’al. 2 et accomplissent des travaux qui tom- bent sous le champ d’application de ch. 1: Art. 10.2 let. e, f, g, i et l; art. 10.3; art. 1 RS 221.215.311 2 Des tirés à part de l’extension peuvent être obtenus auprès de l’EDMZ, 3003 Berne.</w:t>
      </w:r>
    </w:p>
    <w:p>
      <w:r>
        <w:t>Convention collective nationale de travail pour l’artisanat du métal. FF 114 11.5 let. a, d, i et k; art. 11.6; art. 13.1 et 3; art. 14.1 et 3; art. 15.1 et 3; art. 23.7; art. 26; art. 27.5, 6 et 7; art. 30.1 et 3; art. 32.1, 2 et 5; art. 33; art. 36.1; art. 40.2; art. 43; art. 44; art. 45.1, 2, 3 et 4; art. 46.1, 2, 3, 4 et 5; annexe 10. Art. 41 est applica- ble lorsque la durée de ces travaux, calculé sur une période de référence d’une an- née, excède un mois. Lorsque la durée de ces travaux, calculé pour une période de référence d’une année, dépasse deux mois, il y a lieu de contracter, pour ces rapports de travail, une assurance d’indemnité journalière en cas de maladie (perte de gain) selon les art. 51 et 52 ou de prévoir, par accord écrit, une réglementation du paie- ment du salaire en cas de maladie qui corresponde au minimum aux exigences de l’art. 324a du code des obligations. Art. 3 Chaque année, les comptes annuels détaillés, ainsi que le budget pour le prochain exercice doivent être soumis à la Direction du travail du seco au sujet des contribu- tions aux frais d’exécution (art. 21 CCNT).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février 2001 et a effet jusqu’au 31 décembre 2005. 28 décembre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2001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