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80000316 vom 31. Dezember 2003</w:t>
      </w:r>
    </w:p>
    <w:p>
      <w:r>
        <w:t>Bundesverwaltung, 2003-12-31, DE</w:t>
      </w:r>
    </w:p>
    <w:p>
      <w:r>
        <w:rPr>
          <w:b/>
        </w:rPr>
        <w:t xml:space="preserve">Quelle: </w:t>
      </w:r>
      <w:r>
        <w:t>https://mcp.opencaselaw.ch/entscheid/ch_vb__td_class__metadataCell__80000316__td_</w:t>
      </w:r>
    </w:p>
    <w:p>
      <w:r>
        <w:t>FR: CH_VB 80000316 du 31 décembre 2003</w:t>
      </w:r>
    </w:p>
    <w:p>
      <w:r>
        <w:t>IT: CH_VB 80000316 del 31 dicembre 2003</w:t>
      </w:r>
    </w:p>
    <w:p>
      <w:pPr>
        <w:pStyle w:val="Heading2"/>
      </w:pPr>
      <w:r>
        <w:t>Erwägungen</w:t>
      </w:r>
    </w:p>
    <w:p>
      <w:r>
        <w:rPr>
          <w:b/>
        </w:rPr>
        <w:t>E. 7</w:t>
      </w:r>
    </w:p>
    <w:p>
      <w:r>
        <w:t>Gerald Arlettaz: Introduction</w:t>
      </w:r>
    </w:p>
    <w:p>
      <w:r>
        <w:rPr>
          <w:b/>
        </w:rPr>
        <w:t>E. 9</w:t>
      </w:r>
    </w:p>
    <w:p>
      <w:r>
        <w:t>Pierre Centlivres: Race, Racisme et Anthropologie</w:t>
      </w:r>
    </w:p>
    <w:p>
      <w:r>
        <w:rPr>
          <w:b/>
        </w:rPr>
        <w:t>E. 13</w:t>
      </w:r>
    </w:p>
    <w:p>
      <w:r>
        <w:t>I. Le commencement du doute</w:t>
      </w:r>
    </w:p>
    <w:p>
      <w:r>
        <w:rPr>
          <w:b/>
        </w:rPr>
        <w:t>E. 14</w:t>
      </w:r>
    </w:p>
    <w:p>
      <w:r>
        <w:t>II. La notion de race et ses substituts</w:t>
      </w:r>
    </w:p>
    <w:p>
      <w:r>
        <w:rPr>
          <w:b/>
        </w:rPr>
        <w:t>E. 18</w:t>
      </w:r>
    </w:p>
    <w:p>
      <w:r>
        <w:t>III. Du côté des anthropologues suisses</w:t>
      </w:r>
    </w:p>
    <w:p>
      <w:r>
        <w:rPr>
          <w:b/>
        </w:rPr>
        <w:t>E. 22</w:t>
      </w:r>
    </w:p>
    <w:p>
      <w:r>
        <w:t>IV. L'Encyclopédie française 28 V. L'UNESCO, les races et les droits de l'homme 31 VI. Fin des «races» et racisme 35 VII.Le retour des races 39 Zusammenfassung 41 Compendio 41 Mirjam Bugmann und Philipp Sarasin: Forel mit Foucault Rassismus als «Zäsur» im Diskurs von August Forel 43 I. Einleitung 43 II. Bilder des Fremden. Eine erste Lektüre 46 III. Rassismus als «Zäsur» (Foucault) 51 IV. Strategien der Ausgrenzung: Klassifizieren und Intervenieren bei Forel 55 V. Fazit 66 Résumé 67 Compendio 68 Jacques Picard: Jüdische Positionen zum kulturellen Pluralismus Gesellschaftskonzepte, Rechtspolitik und Antisemitismus in historischer Perspektive 71 I. Juristische Positionen zur Frage der Minderheitenprotektion in Europa, 1918-1950 73 II. Amerikanisch-jüdische Konzepte des kulturellen Pluralismus 78 III. Holocaustgeschichte, Israelaversion und Schuldentlastung nach 1945 in Europa 85</w:t>
      </w:r>
    </w:p>
    <w:p>
      <w:r>
        <w:t>IV. Agglomerationen und sekundäre Pluralisierungen in postkolonialen Gesellschaften 91 V. Antisemitismus als Code der Feindschaft gegenüber kulturellem Pluralismus 95 Résumé 99 Compendio 99 Regula Ludi: Die Parzellierung der Vergangenheit: Schweizer NS-Opfer und die Grenzen der Wiedergutmachung 101 Résumé 127 Compendio 128 Regula Argast, Silvia et Gerald Arlettaz: Citoyenneté, nationalité et formation nationale en Suisse, 1798-1925 129 I. Le droit de cité entre l'Etat national et les collectivités locales (1798-1848) par Silvia Arlettaz 131 II. Le modèle juridique et social de la citoyenneté suisse dans le cadre de la formation de l'Etat national (1848-1903) par Regula Argast 137 III. La nationalité, modèle culturel ou ethnoracial (1900-1925)? par Gérald Arlettaz 148 Zusammenfassung 158 Compendio 159 Brigitte Studer: Die «Ausländerfrage» zwischen militärischem Sicherheitsdenken und rechtsstaatlichen Garantien zu Beginn des Zweiten Weltkriegs 161 I. Die Imperative militärischen Sicherheitsdenkens 165 II. Ausländerstatistik und Bedrohungswahrnehmung 168 III. Das Abwehr- und Kontrolldispositiv 172 IV. Die föderalistische Kompetenzenordnung als Schwachpunkt des Sicherheitsdispositivs 174 V. Umfassenderer Identifikationsbedarf und effizientere Identitätssicherung 176 VI. Die Exklusion «unwürdiger» und «unsicherer» Elemente 181 VII.Fazit: Die Konsequenzen der Konferenz 182 Résumé 185 Compendio 186</w:t>
      </w:r>
    </w:p>
    <w:p>
      <w:r>
        <w:t>Michèle Fleury: Les réfractaires allemands pendant la Seconde Guerre mondiale. Problèmes de nationalité 189 I. Introduction 189 II. Combien sont-ils et qui sont-ils? 192 II. Que faire des réfractaires? 199 IV. Bilan provisoire 210 Zusammenfassung 211 Compendio 212 Jean-Pierre Tabin: La politique vaudoise de lutte contre le chômage 1931-1938 215 I. La politique fédérale en matière de chômage 216 II. La politique vaudoise 220 III. Les années 1931-1938 225 IV. Conclusion 238 Zusammenfassung 239 Compendio 240 Martine Ruchat: Raisons disciplinaires, écritures cliniques et figures de l'enfant dans l'histoire de l'éducation spéciale 1867-1948 243 I. Ecrire l'enfant vicieux 247 II. La raison pédagogique 249 III. S'observer soi-même 250 IV. Décrire l'enfant arriéré 251 V. La raison psychologique 253 VI. Transcrire l'enfant difficile en courbe 256 VILLa raison médico-pédagogique 259 VIII. Conclusion: temps de l'enfance et sens de l'enfant 261 Zusammenfassung 263 Compendio 264 Urs Germann: Die schweizerische Strafrechtsreform zwischen (nationaler) Integration und (individuellem) Ausschluss Delinquentenbilder und Sanktionskonzepte 1890—1914 265 I. Einleitung 265 II. Rechtseinheit und Strafrechtsreform: Die Entstehung einer regulativen Kriminalpolitik in der Schweiz 270 III. Delinquentenbilder und Sanktionskonzepte 276 IV. Fazit: Strafrechtsreform zwischen Integration und Ausschluss 286</w:t>
      </w:r>
    </w:p>
    <w:p>
      <w:r>
        <w:t>Résumé 288 Compendio 289 Gilles Jeanmonod et Jacques Gasser: A propos d'un internement non volontaire à la fin du XIXe siècle: Le cas du professeur Nathan Loewenthal 291 I. Nathan Loewenthal 292 II. L'affaire Herzen - Loewenthal 297 III. Epilogue 306 Zusammenfassung 308 Compendio 308 Anita Ulrich: Einsperren — Überwachen - Verdrängen: Strategien zur Bewältigung des Prostitutionsproblems im 19. Jahrhundert 309 I. Erscheinungsbild der Prostitution: Bordelle und Strassenmädchen.... 310 II. Giftmorcheln, Sirenen, Krebsübel - Metaphern der Prostitution 311 III. Einsperren - Verdrängen - Überwachen 313 IV. Auswirkungen auf die Prostituierten 323 Résumé 331 Compendio 332 Christoph Schlauer: «Mit den Homos sei das Geld leichter zu verdienen». Männerprostitution im nachkriegszeitlichen Schaffhausen 335 I. Zwischen Freizeitvergnügen und Nebenjob 336 II. Die juristische Sicht 342 III. ImMilieu 348 IV. Im Schatten und im Licht 355 Résumé 360 Compendio 361 Simone Chiquet: Die Bewertung im Schweizerischen Bundesarchiv 363 I. Geschichte der Bewertung im Schweizerischen Bundesarchiv 367 II. Die Bewertung seit dem Inkrafttreten des Bundesgesetzes über die Archivierung 376 III. Längerfristige Perspektiven der Bewertung 397 Résumé 400 Compendio 401 Publikationen des Schweizerischen Bundesarchivs 402</w:t>
      </w:r>
    </w:p>
    <w:p>
      <w:r>
        <w:t>Schweizerisches Bundesarchiv, Digitale Amtsdruckschriften Archives fédérales suisses, Publications officielles numérisées Archivio federale svizzero, Pubblicazioni ufficiali digitali Inhalt Sommaire Sommario In Studien und Quellen Dans Etudes et Sources In Studi e Fonti Jahr 2003 Année Anno Band 29 Volume Volume Autor - Auteur Autore Seite 3-6 Page Pagina Ref. No 80 000 316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