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20043655 vom 11. März 1998</w:t>
      </w:r>
    </w:p>
    <w:p>
      <w:r>
        <w:t>Bundesverwaltung, 1998-03-11, DE</w:t>
      </w:r>
    </w:p>
    <w:p>
      <w:r>
        <w:rPr>
          <w:b/>
        </w:rPr>
        <w:t xml:space="preserve">Quelle: </w:t>
      </w:r>
      <w:r>
        <w:t>https://mcp.opencaselaw.ch/entscheid/ch_vb__td_class__metadataCell__20043655__td_</w:t>
      </w:r>
    </w:p>
    <w:p>
      <w:r>
        <w:t>FR: CH_VB 20043655 du 11 mars 1998</w:t>
      </w:r>
    </w:p>
    <w:p>
      <w:r>
        <w:t>IT: CH_VB 20043655 del 11 marzo 1998</w:t>
      </w:r>
    </w:p>
    <w:p>
      <w:pPr>
        <w:pStyle w:val="Heading2"/>
      </w:pPr>
      <w:r>
        <w:t>Erwägungen</w:t>
      </w:r>
    </w:p>
    <w:p>
      <w:r>
        <w:rPr>
          <w:b/>
        </w:rPr>
        <w:t>E. 11</w:t>
      </w:r>
    </w:p>
    <w:p>
      <w:r>
        <w:t>mars 1998 Bulletin officiel de l’Assemblée fédérale dass auf diese Weise Elemente einer abgelehnten Volksin- itiative ins Gesetz kommen. Mit diesen Zusätzen wird das Gesetz zu einem eigentlichen Nichteintretensgesetz, weil faktisch auf 90 Prozent der Gesuche nicht mehr eingetreten werden könnte. Darum geht es hier, um nicht mehr und nicht weniger. Ich frage Sie, ob Sie das wirklich wollen. Vollmer Peter (S, BE): Ich möchte Ihnen mit der Minderheit beantragen, die Ergänzung bezüglich der Reisepapiere – der Ständerat hat sie in Artikel 31 Absatz 2 Litera a1 eingeführt – wie auch die Abschwächung, die die Mehrheit der Kommis- sion beantragt, zu streichen. Die Kommissionsmehrheit hat offenbar gespürt, dass die Formulierung des Ständerates nicht über alle Zweifel erhaben ist, und hat eine andere, ein bisschen weichere Formulierung in den Text eingebracht. Aus folgenden Überlegungen möchte ich Sie ganz klar bitten, diese Gründe, auf ein Asylgesuch nicht einzutreten – wenn keine Reisepapiere vorgelegt werden –, nicht ins Gesetz auf- zunehmen: Wenn Sie das genau betrachten, ist es etwas Ungeheuerli- ches: Hier wird ein Nichteintretensgrund geschaffen, einfach weil jemand offenbar keine Reisepapiere abgeben kann. In sehr vielen Fällen besitzen Asylbewerber keine Reisepa- piere, oder sie mussten diese während der Flucht vernichten. Das sind keine unehrenhaften Gründe. Denn es ist eine fa- tale Logik, die hier durch den Ständerat ins Gesetz gebracht worden ist. Man geht davon aus, dass ein Asylsuchender – jemand, der in seinem Heimatstaat verfolgt wird, der um sein Leben bangen muss – in seinem Heimatstaat zu den Behör- den geht und sagt: Entschuldigung, ich möchte flüchten; könnten Sie mir einen Reisepass ausstellen, damit ich or- dentlich ausreisen und in meinem Zielland einreisen und ein Asylgesuch stellen kann? Jemand, der gültige Reisepapiere hat und damit auch aus seinem Heimatstaat ausreisen konnte, wird nämlich im Verfahren – das haben sehr viele konkrete Verfahren gezeigt – unter Umständen benachteiligt, denn man sagt dann: Sie sind eigentlich gar nicht verfolgt; Sie hatten ja Papiere Ihres Heimatstaates, Sie konnten damit ausreisen. Seine Fluchtgründe werden damit kritischer be- trachtet. Es wäre fatal, wenn wir diese Kondition einbauen würden. Sie ist auch nicht notwendig. Lesen Sie bitte Artikel 8 dieses Gesetzentwurfes. Dort stellen Sie fest, dass die Asylbewer- ber im Verfahren eine sogenannte Mitwirkungspflicht haben. Das heisst, sie müssen ihre Identität offenlegen, sie müssen allfällig vorhandene Reisepapiere abgeben, das ist richtig und korrekt, damit das Verfahren ordentlich durchgeführt werden kann. Wenn jemand unsere Behörden täuschen möchte und vor- handene Dokumente nicht abgibt, muss das in diesem Ver- fahren berücksichtigt werden, dann erfüllt er seine Mitwir- kungspflicht nicht. Dafür haben wir mit Artikel 8 genügend gesetzliche Handhaben. Aber in Artikel 31 konstruieren wir daraus einen Grund, auf ein Asylgesuch nicht einzutreten. Dass nicht einmal darauf eingetreten wird, wenn er die Papiere nicht abgibt oder nicht vorweisen kann, ist eine Steigerung und Erschwerung. Ob er sie nämlich hat oder nicht, ist eine andere Frage. Es ist quasi eine Umkehrung der Beweispflicht, dass man davon aus- geht, er hätte Papiere, und wenn er sie nicht gibt, läuft er Ge- fahr, nach diesen Bestimmungen der Nichteintretensgründe behandelt zu werden. Ich glaube, es kann wirklich nicht sein – hier geht es tatsäch- lich um das, was Frau Bühlmann bereits gesagt hat –, dass wir den Volkswillen nicht respektieren und ganz zentrale Ele- mente der vom Volk deutlich abgelehnten SVP-Initiative jetzt quasi wieder ins Gesetz einbauen. Respektieren wir den Volksentscheid, und führen wir hier nicht neue Nichteintre- tensgründe ein! Die Behörden haben mit der Mitwirkungs- pflicht genügend Handhabe, auch dann jemanden im Verfah- ren entsprechend zu qualifizieren und einen entsprechenden Asylentscheid zu fällen, wenn festgestellt wird, dass er diese Mitwirkungspflicht nicht erfüllt. Aber dies darf weiss Gott nicht bereits ein Grund für Nichteintreten auf das Asylgesuch sein. Wir dürfen nicht mit solchen formalen Dingen – dem Vorhan- densein von Reisepapieren – diese Gründe derart konstruie- ren und damit echten Asylbewerbern, echten Flüchtlingen, die tatsächlich nicht über diese Papiere verfügen, eine min- dere Chance geben, überhaupt ein ordentliches Verfahren durchspielen zu können. Ich bitte Sie deshalb, diese Ergänzungen der Nichteintre- tensgründe abzulehnen. Der Bundesrat selber hatte sie ja in seinem Entwurf auch nicht drin, weil er auch zur Auffassung gekommen ist, dass er genügend Handhabe habe, allenfalls über den Mitwirkungsartikel entsprechende Sanktionen zu ergreifen. Wir brauchen hier keine zusätzliche Erschwerung. David Eugen (C, SG): Bei Artikel 31 Absatz 2 geht es darum, wann die Behörde auf ein Gesuch überhaupt nicht eintritt. Dabei müssen wir darauf achten, dass es nicht dazu kommt, dass echte Flüchtlinge aus formalen Erwägungen abgewie- sen werden. Das ist das Entscheidende. Das muss unter al- len Umständen vermieden werden. Gemäss Antrag der Mehrheit zu Absatz 2 Buchstabe a1 ist diese Gefahr eindeutig vorhanden. Ich selbst – Antrag der Minderheit II – bevorzuge die Streichung dieses Buchsta- bens a1, weil das Anliegen, das mit Buchstabe a1 verfolgt werden soll, bereits in Buchstabe b enthalten ist. Verletzt nämlich ein Asylsuchender seine Mitwirkungspflichten grob, kann das zur Folge haben, dass auf sein Gesuch nicht einge- treten wird. Das kann auch geschehen – wie Sie bei den Mit- wirkungspflichten nachlesen können –, wenn ein Asylsu- chender Identitätsausweise und, sofern vorhanden, Reisepa- piere nicht offenlegt. Der Tatbestand, der in Buchstabe a1 er- wähnt ist, ist also bereits in Buchstabe b erfasst. Der Unterschied liegt darin, dass man gemäss Buchstabe a1 der Mehrheit letztlich auch Leute abweisen kann, ohne zu prüfen, ob sie ihre Pflichten verletzt haben. Die subjektive Seite ihres Verhaltens wird überhaupt nicht mehr berücksich- tigt. Man sagt einfach, es sei kein Identitätsausweis da, und weist die Frau oder den Mann zurück. Damit bewegen wir uns in einem Feld, wo echte Flüchtlinge zurückgewiesen werden: Es ist ganz klar, dass gerade unter den echten Flüchtlingen einige sind, die über keine Identitätsausweise verfügen. Das wissen wir aus der Praxis. Ich schlage Ihnen vor: Halten Sie zumindest an der Fassung des Ständerates fest. Denn der Ständerat hat den wichtigen Zusatz in seinem Beschluss: «.... in diesem Fall ist dennoch einzutreten, wenn Hinweise auf eine Verfolgung vorliegen, die sich nicht als offensichtlich haltlos erweisen.» Das heisst, der Nichteintretensentscheid kann nicht einfach formal abge- wickelt werden, ohne die Hinweise auf Verfolgung effektiv klar zu prüfen. Der Ständerat macht einen Schritt in Richtung Formalisierung. Aber immerhin – und darum unterstütze ich ihn eventualiter – geht er nicht so weit wie die Mehrheit. Der Antrag der Mehrheit führt im Endeffekt dazu, dass auf echte Flüchtlingsgesuche in der Schweiz nicht mehr einge- treten wird. Davon bitte ich Sie abzusehen. Damit würden wir die Flüchtlingskonvention verletzen und auch die grundle- genden humanitären Prinzipien, die wir hier immer wieder hochhalten. Ich bitte Sie also, im Hauptantrag der Minderheit I (Vollmer) zu folgen. Wenn Sie das nicht tun können, bleiben Sie bitte zumindest bei der Fassung des Ständerates. Die Beratung dieses Geschäftes wird unterbrochen Le débat sur cet objet est interrompu Schluss der Sitzung um 12.10 Uhr La séance est levée à 12 h 10</w:t>
      </w:r>
    </w:p>
    <w:p>
      <w:r>
        <w:t>Schweizerisches Bundesarchiv, Digitale Amtsdruckschriften Archives fédérales suisses, Publications officielles numérisées Archivio federale svizzero, Pubblicazioni ufficiali digitali Asylgesetz und Anag. Änderung Loi sur l’asile et LSEE. Modification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08 Séance Seduta Geschäftsnummer 95.088 Numéro d'objet Numero dell'oggetto Datum 11.03.1998 - 11:00 Date Data Seite 514-520 Page Pagina Ref. No 20 043 655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11.00</w:t>
      </w:r>
    </w:p>
    <w:p>
      <w:r>
        <w:t>h Vorsitz – Présidence: Heberlein Trix (R, ZH) __________________________________________________________ 95.088 Asylgesetz und Anag. Änderung Loi sur l’asile et LSEE. Modification Fortsetzung – Suite Siehe Seite 508 hiervor – Voir page 508 ci-devant __________________________________________________________ A. Asylgesetz (Fortsetzung) A. Loi sur l’asile (suite) Art. 4 (Fortsetzung) – Art. 4 (suite) Fankhauser Angeline (S, BL), Berichterstatterin: Gemäss Artikel 4 – dort sind wir gestern nach der Begründung der Minderheitsanträge steckengeblieben – kann der Bundesrat vorübergehend Schutz gewähren, muss aber nicht. Die Mehrheit ist der Meinung, dass die Schutzbedürftigkeit der Menschen nicht auf Kriegs- und Bürgerkriegssituationen re- duziert werden darf. Sie will, wie Sie es gestern schon gehört haben, am früheren Beschluss des Nationalrates festhalten. Man will dem Bundesrat genügend Spielraum geben, um Menschen in Krisensituationen vorübergehenden Schutz zu gewähren. Es ist unter anderem zu berücksichtigen, dass die Beurteilung, ob ein Krieg oder ein Bürgerkrieg stattfindet – das hat auch Herr Loeb sehr deutlich dargestellt –, nicht im- mer so einfach ist, wie die Formulierung des Bundesrates es glauben lässt. So oder so braucht es einen Entscheid des Bundesrates, um den vorübergehenden Schutz zu erteilen. Mit der Umschreibung der Gründe wird kein Rechtsanspruch gewährt, und die Mehrheit versteht ihre Formulierung in Artikel 4 nicht als Ausweitung, sondern als präzisere Um- schreibung. Sie bittet Sie, wie bereits gesagt – und ich hoffe, dass auch jene Leute das hören, die nicht hier sind, aber noch kommen werden, um zu stimmen –, festzuhalten und der Mehrheit zu folgen. Ducrot Rose-Marie (C, FR), rapporteur: Nous abordons là le statut des réfugiés de la violence. C’est une des spécificités de cette loi, et dans le débat d’entrée en matière, nous avons quand même reconnu que cette réglementation allait permet- tre en tout cas d’accélérer les procédures, mais aussi nous donner l’occasion d’accueillir et de vraiment suivre, d’une fa- çon plus généreuse, les victimes de la guerre et de la guerre civile. De l’avis de la majorité de la commission, la Suisse doit éga- lement protéger les personnes victimes de «violence généra- lisée ou de violations graves et systématiques des droits de l’homme». La majorité est d’avis que la formulation trop res- trictive adoptée par le Conseil des Etats ne tient absolument pas compte de la situation actuelle: la fin d’une guerre civile n’est pas synonyme de paix, et les violations systématiques des droits de l’homme ne cessent pas par enchantement à la fin d’un conflit. En tout cas, ce sont les conclusions de la ma- jorité de la commission. La situation dans laquelle la Suisse est engagée, notamment face à l’Algérie, n’est pas étrangère à notre position. En effet, l’Algérie n’est ni en guerre ni en guerre civile; mais, on doit le reconnaître aussi, elle subit les horreurs de la violence, de cette violence généralisée. Nous devrions pouvoir offrir une protection provisoire à ces victi- mes de sévices graves: on a dit – je crois que c’est M. David qui l’a dit hier – que la Suisse doit être en première ligne pour la défense des droits de l’homme. Pour ces raisons, nous vous demandons de rejeter à l’article 4 la proposition de la minorité II (Dettling). La minorité I (Leuba) fait, elle, une proposition qui représente la voie médiane. Elle n’est pas inintéressante. Je dois vous dire que cette proposition a été acceptée en commission dans un premier vote contre la proposition Dettling, mais elle a été rejetée dans un deuxième vote, par 11 voix contre 9. Je vous invite à voter la proposition de majorité. Si vous mon- trez quelques velléités d’en décider autrement, je vous le re- commande à titre personnel, votez au moins la proposition de minorité I qui fait un demi-pas dans la bonne direction. Koller Arnold, Bundesrat: Bei Artikel 4 führen wir den neuen Status des vorübergehenden Schutzes ein oder, wie man oft auch sagt, den Status der sogenannten Gewaltflüchtlinge. Die Gewährung vorübergehenden Schutzes soll gemäss un- serem Konzept stets ein von humanitären Überlegungen ge- leiteter Ermessensentscheid des Bundesrates sein. Daher haben wir bei der Formulierung der Gesetzesbestimmung darauf geachtet, dass die Schutzgewährung möglichst frei und unabhängig von vorformulierten Definitionen erfolgen kann. Diesem Konzept folgend, haben wir in der bundesrätli- chen Formulierung, welcher der Ständerat gefolgt ist, einen allgemeinen, offenen Grundtatbestand umschrieben, näm- lich den der «schweren allgemeinen Gefährdung». Im Sinne einer nicht abschliessenden Aufzählung werden danach zwei konkrete Beispiele einer solchen Gefährdungssituation er- wähnt, nämlich Krieg und Bürgerkrieg. Damit werden die bei- den Hauptanwendungsfälle für die Annahme einer «schwe- ren allgemeinen Gefährdung» ausdrücklich genannt. Mit die- ser Formulierung sind aber andere Fälle, beispielsweise auch eine systematische und schwere Menschenrechtsver- letzung, nicht etwa ausgeschlossen. Dass Bundesrat und Ständerat die Erwähnung der systematischen und schweren Verletzung der Menschenrechte hier nicht formulieren, hat al- lein damit zu tun, dass wir der Meinung sind, dass das nur zu Anwendungsproblemen führen würde. Denn wer Opfer gezielter, schwerer Menschenrechtsverlet- zungen ist, erfüllt in aller Regel den Flüchtlingsbegriff, hat also Anspruch auf den Status des anerkannten Flüchtlings. Das zeigt übrigens auch die Statistik über den Jugoslawien- konflikt, vor allem über die Situation in Kosovo. Weil wir ja während drei Jahren keine Leute haben zurückführen kön- nen, haben wir neben den vorläufigen Aufnahmen über 1000 Angehörige der Bundesrepublik Jugoslawien, vor allem Leute aus Kosovo, als Flüchtlinge tatsächlich anerkannt. Es ist vor allem dieser systematische Grund – das Problem der Abgrenzung, wer den Flüchtlingsstatus und wer vorüber- gehenden Schutz erhält –, der den Bundesrat dazu bewegt, Ihnen vorzuschlagen, der Formulierung von Ständerat und Bundesrat zuzustimmen, allenfalls auch dem Antrag der Min- derheit Leuba. Abstimmung – Vote Eventuell – A titre préliminaire Für den Antrag der Minderheit I 72 Stimmen Für den Antrag der Minderheit II 53 Stimmen Definitive, namentliche Abstimmung Vote définitif, nominatif (Ref.: 1760) Für den Antrag der Minderheit I stimmen: Votent pour la proposition de la minorité I: Bangerter, Binder, Blocher, Bortoluzzi, Brunner Toni, Bührer, Cavadini Adriano, Columberg, Deiss, Dettling, Dreher,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