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20042706 vom 8. Oktober 1997</w:t>
      </w:r>
    </w:p>
    <w:p>
      <w:r>
        <w:t>Bundesverwaltung, 1997-10-08, DE</w:t>
      </w:r>
    </w:p>
    <w:p>
      <w:r>
        <w:rPr>
          <w:b/>
        </w:rPr>
        <w:t xml:space="preserve">Quelle: </w:t>
      </w:r>
      <w:r>
        <w:t>https://mcp.opencaselaw.ch/entscheid/ch_vb__td_class__metadataCell__20042706__td_</w:t>
      </w:r>
    </w:p>
    <w:p>
      <w:r>
        <w:t>FR: CH_VB 20042706 du 8 octobre 1997</w:t>
      </w:r>
    </w:p>
    <w:p>
      <w:r>
        <w:t>IT: CH_VB 20042706 del 8 ottobre 1997</w:t>
      </w:r>
    </w:p>
    <w:p>
      <w:pPr>
        <w:pStyle w:val="Heading2"/>
      </w:pPr>
      <w:r>
        <w:t>Erwägungen</w:t>
      </w:r>
    </w:p>
    <w:p>
      <w:r>
        <w:rPr>
          <w:b/>
        </w:rPr>
        <w:t>E. 8</w:t>
      </w:r>
    </w:p>
    <w:p>
      <w:r>
        <w:t>octobre 1997 Bulletin officiel de l’Assemblée fédérale Villiger Kaspar, Bundesrat: Ich will es sehr kurz machen. Ich bin Ihnen natürlich dankbar, wenn Sie der Kommissions- mehrheit folgen, weil ich überzeugt bin, dass wir jetzt ein Pa- ket vor uns haben, das einigermassen ausgewogen ist. Ich hätte es als Finanzminister natürlich lieber gesehen, wenn eine grössere Kompensation möglich gewesen wäre. Aber es ist immerhin ein Schritt gemacht worden. Ich würde mei- nen, das Paket sei auf diese Weise finanzpolitisch noch ver- tretbar, es sei wirtschaftspolitisch äusserst attraktiv und ge- eignet, unserem Wirtschaftsstandort Impulse zu verleihen. Das Paket ist eben doch ein Ganzes. Die Linke müsste ei- gentlich zustimmen können, weil die Rechte in bezug auf den Stempel doch einen erheblichen Schritt entgegengekommen ist. Die Rechte müsste zustimmen können, weil es wirtschaft- lich gesehen ein sehr gutes Paket ist. Ich glaube, dass man auch seitens des Bundesrates zu diesem Paket stehen könnte, wenn es zu einer Abstimmung kommen sollte. Ich möchte noch kurz zur letzten Bemerkung des Sprechers der Minderheit, Schmid Samuel, in bezug auf die Steuerge- rechtigkeit Stellung nehmen. Es ist mir bewusst, dass bei den Einmalprämienversicherungen – ich spreche von Rentenver- sicherungen, nicht von Kapitalversicherungen – das Problem der Besteuerung mit 60 Prozent besteht, was etwas hoch ist. Im Rahmen der Kommission Behnisch, welche nicht nur Steuerlücken, sondern auch Überbesteuerungen prüft, wird diese Frage angeschaut. Sollten wir dort zum Schluss kom- men, dass dieser Satz hinsichtlich der Besteuerung der Ver- zinsung einer an sich steuerfreien Versicherung wirklich nicht zu rechtfertigen ist, wären wir durchaus offen dafür, Ihnen Korrekturen vorzuschlagen. Diese Bemerkung wollte ich doch noch machen. Ich bitte Sie, der Kommissionsmehrheit zuzustimmen. A. Bundesgesetz über die Reform der Unternehmens- besteuerung 1997 A. Loi fédérale sur la réforme 1997 de l’imposition des sociétés Formale Differenz Antrag der Kommission Mehrheit Zustimmung zum Beschluss des Ständerates (= gemeinsa- me Vorlage) Minderheit (Baumberger, Binder, Eberhard, Gusset, Kühne, Schmid Sa- muel, Wyss) Festhalten (= separate Vorlagen) Divergence formelle Proposition de la commission Majorité Adhérer à la décision du Conseil des Etats (= projet commun) Minorité (Baumberger, Binder, Eberhard, Gusset, Kühne, Schmid Sa- muel, Wyss) Maintenir (= projets séparés) Abstimmung – Vote Für den Antrag der Mehrheit 112 Stimmen Für den Antrag der Minderheit 53 Stimmen 96.060 «Agrarpolitik 2002» «Politique agricole 2002» Fortsetzung – Suite Siehe Seite 2015 hiervor – Voir page 2015 ci-devant ___________________________________________________________ A. Bundesgesetz zur Förderung der Landwirtschaft (Fortset- zung) A. Loi fédérale sur l’amélioration de l’agriculture (suite) Art. 36, 36bis, 37–43, 185, 186 (Fortsetzung) Art. 36, 36bis, 37–43, 185, 186 (suite) Kühne Josef (C, SG), Sprecher der Minderheit: Soeben ver- nehme ich, dass ich sowohl zu den Übergangsbestimmun- gen (Art. 185) wie zu Artikel 36bis sprechen soll. In den Übergangsbestimmungen will der Bundesrat den durchschnittlich realisierten Milchpreis so steuern, dass er den Zielpreis nicht um mehr als 10 Prozent unterschreitet. Wenn man etwas Genaueres sucht und in der Botschaft die entsprechenden Passagen liest, sind diese vage. Auf Seite 284 können Sie zu Artikel 185 lesen, dass der Bundesrat so viele Mittel zur Verfügung stellt, dass der Milchpreis zu Be- ginn der Übergangsperiode nicht zu tief sinkt. Zudem ist der Durchschnitt des realisierten Milchpreises recht schwierig zu erheben und nachzuvollziehen. Herr Bundesrat Delamuraz, das kommt mir vor wie bei der Schweizer Fussball-Nationalmannschaft, die jedes Mal das Ziel hat zu siegen. Die Realität sieht dann aber etwas anders aus. Herr Bundesrat Delamuraz, Sie müssten schon noch genauer sagen, was Artikel 185 wirklich soll. Mein Antrag ist jedenfalls bedeutend konkreter und auch besser zu handha- ben, also praktikabler. Zu Artikel 36bis: Hier geht es um die Silageverzichtsentschä- digung. Ich muss Sie um Nachsicht bitten. In dieser Beratung sind verschiedene Artikel zusammengefasst. Das Auseinan- derhalten ist etwas schwierig. Bundesrat und Mehrheit wollen ein Stützungsinstrument aufheben, das in bezug auf Produk- tequalität, Ökologie und Effizienz der eingesetzten Mittel vor- teilhaft ist. Die Zulage für die Fütterung ohne Silage ist euro- kompatibel und gemäss Gatt-Verträgen vollumfänglich er- laubt. Beispielsweise können die österreichischen Milchpro- duzenten, mit Unterstützung aus Brüssel, langfristig auf diesem Instrument aufbauen. Es ist daher mehr als unver- ständlich, wenn diese Selbstbeschränkung jetzt vorgenom- men wird. Es wird im Zusammenhang mit zukünftigen Gatt- Runden und natürlich auch im Verhältnis zur Europäischen Union ein faktisches Präjudiz geschaffen. Der Antrag des Bundesrates und der Mehrheit steht zudem im Widerspruch zur Grundstrategie der neuen Milchmarkt- ordnung, nämlich die Milchmenge zu erhalten. Der Verzicht auf die Zulage für Fütterung ohne Silage gibt den Produzen- ten Signale, sobald als möglich aus der Naturmilch-Käsepro- duktion auszusteigen. Durch die wirtschaftlichen Rahmenbe- dingungen werden sie gezwungen sein, auch das Wettbe- werbselement Silagefütterung einzusetzen und damit ihre Produktionskosten zu senken. Der Bundesrat nimmt sich da- mit die Möglichkeit, diese Zulage zu dynamisieren und wei- terzuentwickeln. Die nun langsam Fuss fassenden Vermark- tungskonzepte, die auf den Märkten der EU bessere Erfolgs- chancen versprechen, können nicht mehr weiter genützt wer- den, und die Naturmilch-Käseproduktion hat einen einzig- artigen Kommunikationsvorteil: Die Produkte sind naturnah, sie basieren auf Grundfutter, ihre Fabrikation wird nicht mit Fremdstoffen belastet. Dem Argument der Reinheit wird voll und ganz Rechnung getra- gen. Exportmöglichkeiten von Schweizer Käse in die EU, minde- stens bis zum Abschluss der bilateralen Verhandlungen, be-</w:t>
      </w:r>
    </w:p>
    <w:p>
      <w:r>
        <w:t>Schweizerisches Bundesarchiv, Digitale Amtsdruckschriften Archives fédérales suisses, Publications officielles numérisées Archivio federale svizzero, Pubblicazioni ufficiali digitali Unternehmensbesteuerung. Reform Imposition des sociétés. Réforme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w:t>
      </w:r>
    </w:p>
    <w:p>
      <w:r>
        <w:rPr>
          <w:b/>
        </w:rPr>
        <w:t>E. 13</w:t>
      </w:r>
    </w:p>
    <w:p>
      <w:r>
        <w:t>Séance Seduta Geschäftsnummer 97.022 Numéro d'objet Numero dell'oggetto Datum 08.10.1997 - 08:10 Date Data Seite 2033-2034 Page Pagina Ref. No 20 042 706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