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20040404 vom 21. Juni 1996</w:t>
      </w:r>
    </w:p>
    <w:p>
      <w:r>
        <w:t>Bundesverwaltung, 1996-06-21, DE</w:t>
      </w:r>
    </w:p>
    <w:p>
      <w:r>
        <w:rPr>
          <w:b/>
        </w:rPr>
        <w:t xml:space="preserve">Quelle: </w:t>
      </w:r>
      <w:r>
        <w:t>https://mcp.opencaselaw.ch/entscheid/ch_vb__td_class__metadataCell__20040404__td_</w:t>
      </w:r>
    </w:p>
    <w:p>
      <w:r>
        <w:t>FR: CH_VB 20040404 du 21 juin 1996</w:t>
      </w:r>
    </w:p>
    <w:p>
      <w:r>
        <w:t>IT: CH_VB 20040404 del 21 giugno 1996</w:t>
      </w:r>
    </w:p>
    <w:p>
      <w:pPr>
        <w:pStyle w:val="Heading2"/>
      </w:pPr>
      <w:r>
        <w:t>Erwägungen</w:t>
      </w:r>
    </w:p>
    <w:p>
      <w:r>
        <w:rPr>
          <w:b/>
        </w:rPr>
        <w:t>E. 21</w:t>
      </w:r>
    </w:p>
    <w:p>
      <w:r>
        <w:t>juin 1996 Bulletin officiel de l’Assemblée fédérale wirkungsvoll unterbunden. Es gibt keine vernünftigen Gründe, Liebe und Sexualität unter Behinderten oder mit Be- hinderten zu verbieten. Trotzdem gehört diese unmenschli- che Praxis zum Heimalltag. Das zweite Beispiel: Adula al Romi aus Biel ist eine sportliche Frau im Rollstuhl. Sie wurde von einem Reiseveranstalter zu- rückgewiesen. Es sei dem Carchauffeur und den anderen Feriengästen nicht zumutbar, auf diese Frau im Rollstuhl Rücksicht zu nehmen. Solche Zurückweisungen kommen lei- der immer wieder vor, sei es am Samstagabend im Theater, sei es in Freizeitanlagen, deren Zugänge mit Drehkreuzen und anderen baulichen Schikanen verbarrikadiert sind, oder sei es bei Toiletten – Sie benützen sie alle Tage –, die wie Kä- fige nach innen öffnende Türchen aufweisen, die nur für Otto Normalverbraucher benutzbar sind. Das dritte Beispiel: Für einen intelligenten, querschnittge- lähmten Jungen war kein Schulplatz in der Primarschule zu finden. Trotz Beihilfen der IV und trotz ihrer Bereitschaft, Treppenlift und andere bauliche Vorkehrungen zu treffen, scheiterte die Unterbringung in einer Regelschule. Sie schei- terte an Ängsten, Bedenken und Ausflüchten. Dabei wäre dieser rollstuhlfahrende Mitschüler, der ohne Not und gegen seinen Willen in eine Sonderschule verbracht werden musste, für seine nichtbehinderten Schulkameraden eine Be- reicherung gewesen. Wir sind uns bewusst, dass ein unverkrampftes, offenes und gleichberechtigtes Verhältnis zwischen Nichtbehinderten und Behinderten nicht verordnet werden kann. Auch wenn die Zielsetzung, die Chancengleichheit für Behinderte we- sentlich zu verbessern, in der Verfassung verankert ist, wie wir das anstreben, wird nicht urplötzlich ein Paradies für Be- hinderte entstehen. Ein solcher Verfassungsartikel wird Be- hinderte aber aus der Situation der Bittenden und Danken- den herausführen und in die Lage versetzen, ihr – eigentlich selbstverständliches – Recht auf Teilhabe an der Gemein- schaft besser wahrzunehmen, um dadurch zu einem selbst- bestimmteren Leben zu gelangen. Das Leben so leben zu können ist nur möglich, wenn die Rahmenbedingungen einigermassen stimmen. Das Men- schenrecht auf persönliche Freiheit und Entfaltungsmög- lichkeit ist unbestritten, auch für uns Behinderte. Und auch dann, wenn Sie nun nicht zuhören! Allerdings legen sich sehr viele – zu viele – Bürgerinnen und Bürger keine Rechen- schaft darüber ab, dass und wie sehr Menschen mit einer körperlichen, geistigen oder psychischen Beeinträchtigung gerade wegen und zusätzlich zu dieser Beeinträchtigung im Alltag benachteiligt sind. Die Rahmenbedingungen sind, um es etwas überspitzt aus- zudrücken, auf «the young, the rich and the beautiful» zuge- schnitten. Wenn Sie nicht behindert sind, dann spüren Sie diese Barrieren nicht. Sie sind für Sie, jedenfalls beim flüchti- gen Hinsehen oder beim Darüber-hinweg-Sehen, unsichtbar. Behinderte in Ihrem Umfeld werden Ihnen die Augen für diese vielfältigen Formen von Benachteiligungen freilich öffnen. Wenn Sie jetzt mir nicht zuhören, dann sprechen Sie doch mit ihnen. Setzen Sie sich ernsthaft mit behinderten Menschen, Mitbürgerinnen und Mitbürgern, auseinander. Sie werden er- kennen, dass die Formen dieser auf den ersten Blick nicht sichtbaren Benachteiligungen vielfältig sind. Der Perspekti- venwechsel – von einem moralisch gefärbten Appell für mehr Akzeptanz gegenüber Behinderten hin zur Einforderung glei- cher Rechte und zur Qualifizierung der Vorenthaltung dieser Rechte als Akt der Diskriminierung – ist der eigentliche qua- litative Vorsprung, den unser Land mit einer solchen Verfas- sungsbestimmung in der Behindertenpolitik erlangen wird. Ich möchte mit einem Wort von Thornton Wilder schliessen, der ausdrückt, was eigentlich wir alle, auch wir Behinderte, vom Leben erwarten und erhoffen: «Man muss das Leben lie- ben, um es zu leben, und das Leben leben, um es zu lieben.» Ich danke Ihnen für Ihre Unterstützung. Le président: La commission vous propose de donner suite à l’initiative. Angenommen – Adopté Sammeltitel – Titre collectif Konsumkredite Crédits à la consommation ___________________________________________________________ 95.413 Parlamentarische Initiative (Goll) Gegen die Überschuldung durch Konsumkredite Initiative parlementaire (Goll) Crédit à la consommation. Lutte contre les abus Kategorie IV, Art. 68 GRN – Catégorie IV, art. 68 RCN ___________________________________________________________ Wortlaut der Initiative vom 23. Juni 1995 Gestützt auf Artikel 21bis des Geschäftsverkehrsgesetzes verlange ich mit einer parlamentarischen Initiative in Form ei- ner allgemeinen Anregung die Schaffung eines Bundesge- setzes gegen Missbräuche im Konsumkreditgeschäft. In ei- nem entsprechenden Bundesgesetz mit sozialen Schutzbe- stimmungen sollen in Ergänzung zum Bundesgesetz über den Konsumkredit (KKG) und zu den übrigen konsumenten- schützerischen Bestimmungen – im Bundesgesetz gegen den unlauteren Wettbewerb (UWG), im Obligationenrecht betreffend den Abzahlungs- und Vorauszahlungsvertrag (Art. 226–227 OR) und das Mietrecht (Art. 253–274 OR) – fol- gende Punkte geregelt werden: 1. Kreditgeber müssen zu einer verbindlichen und eingehen- den Solvenzprüfung verpflichtet werden, wobei die Solvenz von Antragstellerinnen und Antragstellern im Zeitpunkt der Kreditaufnahme ausschlaggebend ist. Die Solvenz von Inha- berinnen und Inhabern von Kreditkarten ist alle zwei Jahre neu zu überprüfen. 2. Die Vertragsdauer muss auf 24 Monate beschränkt werden. 3. Der jährliche Höchstzinssatz darf den durchschnittlichen Zins für Spareinlagen (von der Nationalbank ermittelte Durchschnittswerte) um maximal 10 Prozent übersteigen, je- doch nicht mehr als 15 Prozent betragen. 4. Richterinnen und Richter sollen die Kompetenz zur Anord- nung von Erleichterungen wie Zinsreduktionen, Stundungen und Nachlässen in Überschuldungssituationen erhalten, ohne dabei an Parteibegehren gebunden zu sein. 5. Die Limite im Geltungsbereich des KKG muss aufgehoben werden und für sämtliche Konsumkredite, auch für jene über 40 000 Franken, gelten. 6. Soziale Schutzbestimmungen sind nicht nur für die Auf- nahme von Konsumkrediten einzuführen, sondern auch für das Leasinggeschäft, für Kreditkarten und Kontoüberzie- hungskredite. Texte de l’initiative du 23 juin 1995 Par la présente initiative parlementaire, rédigée sous la forme d’une demande conçue en termes généraux et dépo- sée en vertu de l’article 21bis de la loi sur les rapports entre les Conseils, je propose l’adoption d’une loi fédérale contre les abus en matière de crédit à la consommation. A vocation sociale et destinée à compléter à la fois la loi fédérale sur le crédit à la consommation (LCC), les dispositions de la loi fé- dérale contre la concurrence déloyale (LCD) qui concernent la protection du consommateur, les dispositions du Code des obligations qui concernent les contrats de vente par acomp- tes et de vente avec paiements préalables (art. 226–227 CO)</w:t>
      </w:r>
    </w:p>
    <w:p>
      <w:r>
        <w:t>Schweizerisches Bundesarchiv, Digitale Amtsdruckschriften Archives fédérales suisses, Publications officielles numérisées Archivio federale svizzero, Pubblicazioni ufficiali digitali Parlamentarische Initiative (Suter) Gleichstellung von Behinderten Initiative parlementaire (Suter) Traitement égalitaire des personnes handicapées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16 Séance Seduta Geschäftsnummer 95.418 Numéro d'objet Numero dell'oggetto Datum 21.06.1996 - 08:00 Date Data Seite 1160-1166 Page Pagina Ref. No 20 040 404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