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20039879 vom 6. März 1996</w:t>
      </w:r>
    </w:p>
    <w:p>
      <w:r>
        <w:t>Bundesverwaltung, 1996-03-06, DE</w:t>
      </w:r>
    </w:p>
    <w:p>
      <w:r>
        <w:rPr>
          <w:b/>
        </w:rPr>
        <w:t xml:space="preserve">Quelle: </w:t>
      </w:r>
      <w:r>
        <w:t>https://mcp.opencaselaw.ch/entscheid/ch_vb__td_class__metadataCell__20039879__td_</w:t>
      </w:r>
    </w:p>
    <w:p>
      <w:r>
        <w:t>FR: CH_VB 20039879 du 6 mars 1996</w:t>
      </w:r>
    </w:p>
    <w:p>
      <w:r>
        <w:t>IT: CH_VB 20039879 del 6 marzo 1996</w:t>
      </w:r>
    </w:p>
    <w:p>
      <w:pPr>
        <w:pStyle w:val="Heading2"/>
      </w:pPr>
      <w:r>
        <w:t>Erwägungen</w:t>
      </w:r>
    </w:p>
    <w:p>
      <w:r>
        <w:rPr>
          <w:b/>
        </w:rPr>
        <w:t>E. 6</w:t>
      </w:r>
    </w:p>
    <w:p>
      <w:r>
        <w:t>mars 1996 Bulletin officiel de l’Assemblée fédérale Dans le nouvel avant-projet de loi sur le matériel de guerre, la définition du matériel de guerre est ainsi conçue que des avions comme les PC-7 et PC-9 dotés d’un dispositif d’accro- chage pourront être compris dans cette définition. A quelques exceptions près (les moteurs, par exemple), l’ex- portation de pièces de rechange pour des PC-7 et PC-9 n’est pas soumise au régime du permis, conformément à la légis- lation sur l’économie extérieure et à la pratique internationale. Le Conseil fédéral ne peut interdire l’exportation de pièces de rechange, dans un cas particulier, qu’en s’appuyant sur l’article 102 chiffre 8 de la Constitution fédérale. A ce jour, il a recouru quatre fois à cette mesure d’urgence, en 1989 et 1990, à propos de l’exportation de biens susceptibles de ser- vir à la production d’armes de destruction massive (en Irak notamment). Le Conseil fédéral estime que cette mesure se- rait disproportionnée par rapport à la livraison de pièces de rechange pour des PC-7 et PC-9 dont l’exportation n’est pas soumise au régime du permis. Schriftliche Erklärung des Bundesrates Déclaration écrite du Conseil fédéral Le Conseil fédéral propose de rejeter la motion. Delamuraz Jean-Pascal, président de la Confédération: Je crois que le Conseil aurait dû traiter cet objet, qui relève de la maison Ogi, à la fin du débat précédent. J’étais prêt à prendre le relais. En l’absence de l’audacieux motionnaire, je pense que je n’ai rien à ajouter quant au fond. Le président: M. Ziegler maintient sa motion, le Conseil fé- déral propose de la rejeter. Abstimmung – Vote Für Überweisung der Motion 43 Stimmen Dagegen 82 Stimmen 94.013 Arbeitsgesetz. Änderung Loi sur le travail. Modification Differenzen – Divergences Siehe Jahrgang 1995, Seite 2352 – Voir année 1995, page 2352 Beschluss des Ständerates vom 12. Dezember 1995 Décision du Conseil des Etats du 12 décembre 1995 __________________________________________________________ Art. 17b Antrag der Kommission Mehrheit Zustimmung zum Beschluss des Ständerates Minderheit I (Rennwald, Berberat, Bodenmann, Fasel, Hämmerle, Hilber, Ledergerber, Roth, Strahm) Zustimmung zum Entwurf des Bundesrates Minderheit II (Maitre, David) Festhalten Art. 17b Proposition de la commission Majorité Adhérer à la décision du Conseil des Etats Minorité I (Rennwald, Berberat, Bodenmann, Fasel, Hämmerle, Hilber, Ledergerber, Roth, Strahm) Adhérer au projet du Conseil fédéral Minorité II (Maitre, David) Maintenir Art. 22, Ziff. II Antrag der Kommission Mehrheit Zustimmung zum Beschluss des Ständerates Minderheit I (Rennwald, Berberat, Bodenmann, Fasel, Hämmerle, Hilber, Ledergerber, Roth, Strahm) Festhalten Minderheit II (Maitre, David) Festhalten Art. 22, ch. II Proposition de la commission Majorité Adhérer à la décision du Conseil des Etats Minorité I (Rennwald, Berberat, Bodenmann, Fasel, Hämmerle, Hilber, Ledergerber, Roth, Strahm) Maintenir Minorité II (Maitre, David) Maintenir David Eugen (C, SG), Berichterstatter: Wir befinden uns in der zweiten Runde der Differenzbereinigung. Es ist noch eine Differenz in Artikel 17b offen; die Differenz in Artikel 22 hängt unmittelbar mit jener in Artikel 17b zusammen. Sie erinnern sich, es geht hier um die Frage der Nachtarbeit und um die Frage, ob hier ein Zeitzuschlag vorgesehen wer- den soll oder nicht. Die Diskussion ist in diesem Rat bei der ersten Differenzbereinigung einlässlich geführt worden. Sie haben damals entschieden, dass ein Zeitzuschlag von</w:t>
      </w:r>
    </w:p>
    <w:p>
      <w:r>
        <w:rPr>
          <w:b/>
        </w:rPr>
        <w:t>E. 10</w:t>
      </w:r>
    </w:p>
    <w:p>
      <w:r>
        <w:t>Prozent nur dann als gesetzliche Mindestregel gelten soll, wenn kein Gesamtarbeitsvertrag vorliegt, der eine adäquate Lösung für die Nachtarbeit trifft. Der Antrag Rennwald unterlag in der Eventualabstimmung dem Antrag Maitre – bei einem Stimmenverhältnis von 11 zu 9. In der definitiven Abstimmung unterlag der Antrag Maitre der Lösung des Ständerates – einer Streichung jeder Kom- pensation – bei einem Stimmenverhältnis von 12 zu 6. Ich muss Ihnen namens der Mehrheit der Kommission bean- tragen, diesem Ergebnis zu folgen. Ganz persönlich bedaure ich dieses Ergebnis, weil wir jetzt eine Ausgangslage haben, die sicher eine Referendumsabstimmung nach sich zieht. Letztlich wird der Stimmbürger an der Urne über dieses Ge- setz entscheiden müssen. Das ist bedauerlich, weil das Ge- setz für den Wirtschaftsstandort Schweiz sehr viele positive Punkte bringt. Es ist schade, dass wir nicht in der Lage wa-</w:t>
      </w:r>
    </w:p>
    <w:p>
      <w:r>
        <w:t>Schweizerisches Bundesarchiv, Digitale Amtsdruckschriften Archives fédérales suisses, Publications officielles numérisées Archivio federale svizzero, Pubblicazioni ufficiali digitali Motion Ziegler Pilatus-Porter. Lieferung von Ersatzteilen an die Regierung Mexikos Motion Ziegler Livraison de pièces de rechange Pilatus-Porter au gouvernement du Mexique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04 Séance Seduta Geschäftsnummer 94.3072 Numéro d'objet Numero dell'oggetto Datum 06.03.1996 - 15:00 Date Data Seite 147-148 Page Pagina Ref. No 20 039 879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