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20025751 vom 15. Juni 1995</w:t>
      </w:r>
    </w:p>
    <w:p>
      <w:r>
        <w:t>Bundesverwaltung, 1995-06-15, DE</w:t>
      </w:r>
    </w:p>
    <w:p>
      <w:r>
        <w:rPr>
          <w:b/>
        </w:rPr>
        <w:t xml:space="preserve">Quelle: </w:t>
      </w:r>
      <w:r>
        <w:t>https://mcp.opencaselaw.ch/entscheid/ch_vb__td_class__metadataCell__20025751__td_</w:t>
      </w:r>
    </w:p>
    <w:p>
      <w:r>
        <w:t>FR: CH_VB 20025751 du 15 juin 1995</w:t>
      </w:r>
    </w:p>
    <w:p>
      <w:r>
        <w:t>IT: CH_VB 20025751 del 15 giugno 1995</w:t>
      </w:r>
    </w:p>
    <w:p>
      <w:pPr>
        <w:pStyle w:val="Heading2"/>
      </w:pPr>
      <w:r>
        <w:t>Erwägungen</w:t>
      </w:r>
    </w:p>
    <w:p>
      <w:r>
        <w:rPr>
          <w:b/>
        </w:rPr>
        <w:t>E. 15</w:t>
      </w:r>
    </w:p>
    <w:p>
      <w:r>
        <w:t>juin 1995 schaftliche Lenkungsabgaben sind günstiger und effizienter als der technische Umweltschutz. Ich glaube mich zu erin- nern, dass die bürgerlichen Parteien seit Jahren marktwirt- schaftliche Lenkungsabgaben gefordert haben. Lenkungsabgaben sind europakompatibel. Ich erinnere Sie daran, dass Osterreich, Dänemark, Finnland, Norwegen und Schweden Lenkungsabgaben in der Landwirtschaft einge- führt haben. Wir sind daran, unseren kleinen Vorteil gegen- über der Europäischen Union in der ökologischen Landwirt- schaft auch noch zu verlieren. Insbesondere die bäuerlichen Vertreter in diesem Saal ha- ben den Schlüssel in der Hand, nun endlich ein kleines Zei- chen in die richtige Richtung zu setzen. Nehmen Sie bitte den Volkswillen ernst, wie er am 12. März 1995 zum Aus- druck gekommen ist, und stimmen Sie der Verankerung der Lenkungsabgaben im Umweltschutzgesetz zu! Bundi Martin (S, GR): Bis vor kurzem schien es noch so, als ob in der öffentlichen politischen Diskussion ein breiter Kon- sens über die Einführung von Lenkungsabgaben vorherr- sche. Diese Abgaben wurden gepriesen als wichtiges markt- wirtschaftliches Instrument - staatsquotenneutral -, das ge- eignet sei, eine Verhaltensänderung herbeizuführen. Jetzt, da drei Abgaben konkret zur Diskussion stehen, zeigt sich erheblicher Widerstand. Der Ständerat hat die dritte Lenkungsabgabe gestrichen, eine Kommissionsminderheit möchte die zweite Abgabe streichen, und die Minderheit Scherrer Jürg möchte alle drei Lenkungsabgaben streichen. Die sozialdemokratische Fraktion beantragt Zustimmung zu allen drei Abgaben, wobei wir bezüglich der dritten Abgabe der Formulierung der Minderheit II (Strahm Rudolf) folgen. Wir sind überzeugt, dass diese Instrumente ihre Lenkungs- wirkung nicht verfehlen werden. Die Anreizfunktion wird die Entwicklung neuer umweltschonender Verfahren und Pro- dukte fördern. Die Einfachheit der Erhebung wird die Einfüh- rung stark erleichtern. Wenn Sie aber die zweite oder die dritte Lenkungsabgabe blockieren, dann blockieren Sie indi- rekt auch die Investitionslust der Industrie. Im Grunde ge- nommen behandelt man dann auch Industrien ungerecht, die verglichen mit anderen bezüglich Umwelt schon fortschritt- lich sind. Bei der VOC-Abgabe und bei der Abgabe auf Heizöl Extra- leicht geht es darum, sicherzustellen, dass die Ziele der Luft- reinhalte-Verordnung erreicht, aber auch gehalten werden können. Bei der Akkumulation von weiteren Schadstoffen in der Luft ist es wichtig und prioritär, die gefährlichsten Schad- stoffe mit den Abgaben zu erfassen - vor allem jene, die als Vorläufersubstanzen der Treibhausgase Ozon und CO2 gel- ten. Etwas anders liegt der Fall bei der dritten Abgabe auf Kunst- düngern und Pflanzenbehandlungsmitteln. Diese Abgabe bezieht sich auf die Qualität der Böden, Pflanzen und Kultu- ren, d. h. sie soll der anhaltenden Vergiftung derselben Ein- halt gebieten. Es lohnt sich, in diesem Zusammenhang einen Blick in die Botschaft zu werfen, wo Zahlen in bezug auf den Verbrauch von solchen Stoffen aufgeführt sind: Pro Jahr wur- den in der Schweiz 223 Tonnen Insektizide, 824 Tonnen Her- bizide, 988 Tonnen Fungizide und 81 Tonnen weiterer Stoffe eingesetzt. Dies entspricht einem Total von 2116 Tonnen. Wenn man sich vergegenwärtigt, dass sich diese derart grosse Emission von Giftstoffen in den Boden von Jahr zu Jahr wiederholt, dann muss man doch endlich dazu kom- men, zu allen drei Lenkungsabgaben ja zu sagen. Ich kann die Sprecher der Landwirtschaft nicht verstehen. Wenn die Landwirte bereit sind, den Weg in Richtung natur- nahe Bewirtschaftung, biologischen Anbau oder integrierte Produktion zu gehen, dann haben sie nichts zu befürchten. Es sind nicht einmal immer die Bauern, die in dieser Hinsicht die schlimmsten Sünder sind. Die Untersuchungen haben gezeigt, dass in den kleinen Schrebergärten vieler Hobby- gärtner eine verhältnismässig sehr viel grössere Menge von solchen Kunstdüngern eingesetzt wird. Wir bitten Sie, den Antrag der Minderheit II (Strahm Rudolf) zu unterstützen und bei Artikel 35b Absatz 6 auch den An- trag der Minderheit l (Eymann Christoph), der die bundesrät- liche Fassung befürwortet und den Verzicht auf die Abgabe in einem Moment, wo der Marktanteil eine gewisse Grosse erreicht haben würde, nicht in das Gesetz hineinschreiben will. Auch den Antrag der Minderheit II (Thür) unterstützen wir, der aber nur im Sinne eines Eventualantrages zum Antrag der Minderheit l (Eymann Christoph) zu verstehen ist. Mit den drei Lenkungsabgaben beschreiten wir Neuland. Diese Abgaben haben gewissermassen einen Testcharak- ter; wir müssen endlich die Möglichkeit haben, wirklich zu te- sten und zu sehen, wie es herauskommt. Es muss deshalb eine flexible Zeitdauer vorgesehen werden. Der Bundesrat wird die Lenkungsabgaben mit dem stufenweisen Vorgehen jederzeit den Erfordernissen der Luftreinhaltung anpassen können. Friderici Charles (L, VD): La constitutionnalité des taxes in- citatives est éminemment discutable. On relève à ce sujet les points suivants: la discussion de l'article 24septies de la constitution aux Chambres en 1970 n'a jamais porté sur la question financière. Seul M. Reverdin a attiré l'attention sur le coût de la protection de l'environnement, chiffré par lui à quelque 3 pour cent du produit national brut. On peut se de- mander si l'article aurait été adopté en votation populaire, dans l'hypothèse où la possibilité de prélever des taxes inci- tatives aurait été expressément prévue. Les constitutionnalistes actuels expriment des doutes impor- tants sur le droit de la Confédération de recourir à une taxe d'incitation sans autorisation expresse spécifique de la cons- titution, et laissent entendre qu'il s'agit d'une appréciation de la situation socioéconomique effective, autrement dit d'une pure question d'opportunité. Les spécialistes de la constitu- tion exigent cependant toujours que de telles taxes soient au moins aménagées de manière précise, afin d'éviter toute at- teinte à la masse fiscale cantonale. Or, le groupe libéral constate non seulement que la base constitutionnelle des taxes d'incitation est chancelante, mais que, de surcroît, ces taxes ne reposent sur aucune législa- tion précise, car on ne saurait considérer comme telles les dispositions de la présente loi. En l'absence de toute garantie constitutionnelle et légale suffisante, le groupe libéral, dans sa majorité, refusera le chapitre 6. En outre, passé un certain seuil qui semble être atteint, on peut se demander si la lutte contre le soufre dans les carbu- rants et les combustibles n'est pas une question dépassée. En effet, actuellement déjà, la moyenne annuelle de soufre des carburants et comburants importés tourne autour de 0,8 pour cent. De plus, une notice technique de Shell faisait état au début de cette année de difficultés qu'il pouvait y avoir pour les mo- teurs des nouvelles générations lorsqu'il y avait trop peu de soufre dans les carburants, si bien que le groupe Shell, jus- tement, a dû ajouter un nouvel additif à ses carburants afin de ne pas causer d' effets techniques indésirables, notam- ment sur les pompes à injection et les systèmes d'injection des moteurs. Le groupe libéral a eu connaissance d'un rapport établi par la Station de recherches agronomiques de Changins, qui fait état de carences en soufre dans un certain nombre de cultu- res: «Par ailleurs, on salue les efforts faits en matière de di- minution du taux de pollution de l'air, notamment au sujet du soufre. En aurait-on trop fait?» Si l'on prend comme référence l'indice 100 en 1950 pour les émissions de soufre provenant des combustibles et carbu- rants d'origine fossile en Suisse, il culmine à 230 en 1972, re- passe à 100 en 1983 pour se stabiliser autour de 60 à partir de 1990. Au niveau des champs cultivés, les émissions de soufre atmosphériques sont évaluées à quelque 15 à</w:t>
      </w:r>
    </w:p>
    <w:p>
      <w:r>
        <w:rPr>
          <w:b/>
        </w:rPr>
        <w:t>E. 20</w:t>
      </w:r>
    </w:p>
    <w:p>
      <w:r>
        <w:t>025 751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