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20024133 vom 14. Juni 1994</w:t>
      </w:r>
    </w:p>
    <w:p>
      <w:r>
        <w:t>Bundesverwaltung, 1994-06-14, DE</w:t>
      </w:r>
    </w:p>
    <w:p>
      <w:r>
        <w:rPr>
          <w:b/>
        </w:rPr>
        <w:t xml:space="preserve">Quelle: </w:t>
      </w:r>
      <w:r>
        <w:t>https://mcp.opencaselaw.ch/entscheid/ch_vb__td_class__metadataCell__20024133__td_</w:t>
      </w:r>
    </w:p>
    <w:p>
      <w:r>
        <w:t>FR: CH_VB 20024133 du 14 juin 1994</w:t>
      </w:r>
    </w:p>
    <w:p>
      <w:r>
        <w:t>IT: CH_VB 20024133 del 14 giugno 1994</w:t>
      </w:r>
    </w:p>
    <w:p>
      <w:pPr>
        <w:pStyle w:val="Heading2"/>
      </w:pPr>
      <w:r>
        <w:t>Erwägungen</w:t>
      </w:r>
    </w:p>
    <w:p>
      <w:r>
        <w:rPr>
          <w:b/>
        </w:rPr>
        <w:t>E. 14</w:t>
      </w:r>
    </w:p>
    <w:p>
      <w:r>
        <w:t>Juni 1994 N 1015 Parlamentarische Immunität Aufhebung pouvaient malgré tout s'opposer à la levée de l'immunité par- lementaire de M. Blocher. Ses considérations ont été les sui- vantes: Les votes du Parlement sont une affaire sérieuse, même s'ils n'ont pas tous la même portée. En votant deuxfois, M. Blocher a enfreint le Règlement du Conseil national, ce qui est inaccep- table. Le vote par procuration n'est pas valable. Quoi qu'il en soit, la majorité de la commission estime qu'il ne faut pas lever l'immunité parlementaire de M. Blocher, conseil- ler national. Elle a notamment considéré que: En proposant de ne pas lever l'immunité parlementaire de M. Blocher, les parlementaires concernés ne souhaitent nulle- ment signifier par là qu'ils l'absolvent de son geste. Simple- ment, ils estiment que ce n'est pas au Ministère public de la Confédération, ni à d'autres autorités, de le sanctionner, car ils considèrent que c'est au Parlement lui-même de garantir le respect de son règlement intérieur. En d'autres termes, la ma- jorité de la commission se situe dans une perspective avant tout institutionnelle, qu'elle estime plus adéquate que l'exer- cice, d'ailleurs aléatoire, d'une action pénale dans le cas d'es- pèce. Il aurait été souhaitable que le Bureau traite ce dossier dès qu'il en a eu connaissance, ce qui aurait permis l'application de l'article 52 RCN par la présidente. C'est pourquoi la com- mission invite le Bureau et la présidente par voie de postulat à assumer leurs responsabilités et à prendre les mesures pré- vues à l'article 52 RCN afin de sanctionner le geste de M. Blocher. Enfin, la décision de ne pas lever l'immunité parle- mentaire de M. Blocher est assortie d'une proposition visant à instaurer dans les meilleurs délais une réglementation interne au Parlement concernant ce type d'infractions. A l'inverse, la minorité de la commission estime qu'il faut pro- céder à la levée de l'immunité parlementaire de M. Blocher. Elle fait notamment valoir, d'une part, que le public, mais aussi M. Blocher lui-même, a intérêt à ce qu'une action pénale soit engagée et, d'autre part, que ne pas procéder à cette levée se- rait accorder à M. Blocher un traitement privilégié dont le ci- toyen ordinaire, lui, n'aurait pu bénéficier. Enfin, il a été avancé qu'une décision de non-levée de l'immunité parlementaire porterait atteinte à l'image du Parlement Enfin, et sans faire référence au cas particulier qui fait l'objet du présent rapport, la commission se demande s'il ne serait pas judicieux de prévoir en tout état de cause des mesures discipli- naires de façon à éviter ou à sanctionner les infractions du type de celle qu'a commise M. Blocher. Après discussion appro- fondie, la commission s'est prononcée en faveur d'une régle- mentation en ce sens et elle a décidé, par 12 voix contre 1 et avec 9 abstentions, d'inviter le Bureau à proposer au Conseil national une modification du RCN afin de permettre au Parle- ment de sanctionner plus sévèrement qu'il ne le peut au- jourd'hui les infractions commises intentionnellement aux dis- positions régissant la procédure de vote. Antrag der 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