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20023222 vom 8. Oktober 1993</w:t>
      </w:r>
    </w:p>
    <w:p>
      <w:r>
        <w:t>Bundesverwaltung, 1993-10-08, DE</w:t>
      </w:r>
    </w:p>
    <w:p>
      <w:r>
        <w:rPr>
          <w:b/>
        </w:rPr>
        <w:t xml:space="preserve">Quelle: </w:t>
      </w:r>
      <w:r>
        <w:t>https://mcp.opencaselaw.ch/entscheid/ch_vb__td_class__metadataCell__20023222__td_</w:t>
      </w:r>
    </w:p>
    <w:p>
      <w:r>
        <w:t>FR: CH_VB 20023222 du 8 octobre 1993</w:t>
      </w:r>
    </w:p>
    <w:p>
      <w:r>
        <w:t>IT: CH_VB 20023222 del 8 ottobre 1993</w:t>
      </w:r>
    </w:p>
    <w:p>
      <w:pPr>
        <w:pStyle w:val="Heading2"/>
      </w:pPr>
      <w:r>
        <w:t>Erwägungen</w:t>
      </w:r>
    </w:p>
    <w:p>
      <w:r>
        <w:rPr>
          <w:b/>
        </w:rPr>
        <w:t>E. 8</w:t>
      </w:r>
    </w:p>
    <w:p>
      <w:r>
        <w:t>Oktober1993 N 1937 Parlamentarische Initiative. ALV-Fonds gewiesen, dass «ein Hinwegschreiten über die historisch ge- wachsenen Kantone.... auch in einigen Jahrzehnten zu schweren politischen Erschütterungen und Streitigkeiten füh- ren» dürfte. Im weiteren hat sie auch die Schwierigkeiten der Abgrenzung neuer Kantone oder Regionen erwähnt und her- vorgehoben, dass es solchen Gebietskörperschaften am not- wendigen «Regionsbewusstsein» fehlen würde. Diese Ueber- legungen erscheinen uns auch heute noch richtig zu sein. 2.2 Die Initiative für Veränderungen, wie sie der Petent wünscht, sollte auf jeden Fall von den Kantonen selbst ausge- hen. Der Bund hat zurzeit keinen Anlass, hier von sich aus tätig zu werden. MmeZölch présente au nom de la commission le rapport écrit suivant: 1. Le pétitionnaire a déposé une pétition le 18 décembre 1992 ainsi qu'une requête complémentaire le 15 mars 1993 par les- quelles il propose à l'Assemblée fédérale une nouvelle réparti- tion des cantons. Selon son point de vue, le territoire de la Confédération devrait être dorénavant divisé en six cantons au total, soit trois cantons pour la Suisse alémanique, deux can- tons pour la Suisse romande et un canton pour la partie ita- lienne et rhéto-romanche du pays. 2. La Commission des institutions politiques du Conseil natio- nal a étudié, le 13 mai 1993, cet objet ainsi que l'avis y relatif du Département fédéral de justice et police et est arrivé comme celui-ci aux conclusions suivantes: 2.1 La proposition du pétitionnaire n'est pas nouvelle. Dans son rapport final, la Commission Wahlen s'est exprimée claire- ment contre une telle réforme territoriale (cf. rapport final, vol. VI, 1973, p. 282). Elle a en particulier relevé que «même dans quelques décennies, mettre au rebut les cantons nés de notre histoire signifierait susciter de redoutables ébranle- ments et conflits politiques.» Elle a en outre évoqué les diffi- cultés d'une délimitation de l'étendue des nouveaux cantons ou des nouvelles régions et a insisté sur le fait que la «cons- cience régionale» nécessaire ferait défaut à ces nouvelles enti- tés territoriales. Aujourd'hui encore, ces considérations nous paraissent être justes. 2.2 L'initiative des modifications proposées par le pétition- naire devrait en tous les cas revenir aux cantons. La Confédé- ration n'a actuellement pas de raison d'agir de son propre chef. Antrag der Kommission Die Kommission beantragt, von der Petition Kenntnis zu neh- men, ihr aber keine Folge zu geben. Proposition de la commission La commission propose de prendre connaissance de la péti- tion sans y donner suite. Angenommen -Adopté #ST# 91.405 Parlamentarische Initiative (Allenspach) Zweckmässige Verwaltung des ALV-Fonds Initiative parlementaire (Allenspach) Gestion appropriée du Fonds de l'assurance-chômage Siehe Jahrgang 1991, Seite 1929 - Voir année 1991, page 1929 Kategorie V, Art. 68 GRN - Catégorie V, art. 68 RCN Frau Segmüller unterbreitet im Namen der Kommission den folgenden schriftlichen Bericht: Ausgangslage Am 4. Oktober 1991 beschloss der Nationalrat, der von Herrn Allenspach eingereichten parlamentarischen Initiative Folge zu geben. Damit wurde sie der Kommission für soziale Sicher- heit und Gesundheit (SGK) überwiesen mit dem Auftrag, eine entsprechende Vorlage auszuarbeiten. Die Kommission be- fasste sich mit dieser Frage an der Sitzung vom 30. März 1992 und hiess eine Neuformulierung von Artikel 84 (Abs. 3 und 4) des Arbeitslosenversicherungsgesetzes (Avig) im Sinne der Initiative gut. Durch die drastische Veränderung der Situation in der Arbeits- losenversicherung drängte sich eine vorzeitige Revision des Arbeitslosenversicherungsgesetzes auf. Damit schien es sinn- voller, das Anliegen der Initiative in die Revision zu integrieren, als es als eigenständiges Geschäft weiterzuverfolgen. Die Re- visionsvorlage wird voraussichtlich in der Frühjahrssession 1994 im Nationalrat behandelt. Die Kommission möchte die In- itiative pendent halten, um sie im Rahmen der Behandlung der Revisionsvorlage abzuschreiben. Am 4. Oktober 1993 läuft die Zweijahresfrist seit Zuweisung der Initiative an die Kommission ab. Gemäss Geschäftsver- kehrsgesetz Artikel 21 quater Absatz 5 entscheidet der Rat nach Ablauf von zwei Jahren, ob die Frist verlängert oder die Initiative abgeschrieben wird. Mme Segmüller présente au nom de la commission le rapport écrit suivant: Situation de départ Le 4 octobre 1991, le Conseil national a décidé de donner suite à l'initiative déposée par M. Allenspach. Elle a ainsi été transmise à la Commission de la sécurité sociale et de la santé (CSSS), qui a reçu le mandat d'élaborer un projet y relatif. La commission l'a traité dans sa séance du 30 mars 1992 et a ap- prouvé une reformulation, au sens de la requête, de l'article 84 (al. 3 et 4) de la loi sur l'assurance-chômage (Laci). L'évolution radicale de la situation en matière d'assurance- chômage a rendu une révision anticipée de la loi sur l'assu- rance-chômage nécessaire. Il est alors apparu plus judicieux d'intégrer l'objet de l'initiative dans la révision plutôt que de le traiter séparément. Le Conseil national inscrira probablement le projet de révision à l'ordre du jour du de sa session de prin- temps 1994. La commission souhaite maintenir l'initiative en suspens de façon à la classer à l'issue du traitement du projet de révision. Le 4 octobre 1993, le délai de deux ans à compter du mandat de la commission de traiter l'initiative, expire. Conformément à l'article21 quater alinéas LREC, le conseil décide à ce mo- ment-là s'il y a lieu de prolonger le délai ou de classer l'initia- tive. Antrag der Kommission Die Kommission beantragt eine Fristverlängerung um zwei Jahre bis zur Herbstsession 1995.</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 Numéro d'objet Numero dell'oggetto Datum 08.10.1993 - 08:00 Date Data Seite 1935-1937 Page Pagina Ref. No 20 023 222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