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20023194 vom 30. September 1993</w:t>
      </w:r>
    </w:p>
    <w:p>
      <w:r>
        <w:t>Bundesverwaltung, 1993-09-30, DE</w:t>
      </w:r>
    </w:p>
    <w:p>
      <w:r>
        <w:rPr>
          <w:b/>
        </w:rPr>
        <w:t xml:space="preserve">Quelle: </w:t>
      </w:r>
      <w:r>
        <w:t>https://mcp.opencaselaw.ch/entscheid/ch_vb__td_class__metadataCell__20023194__td_</w:t>
      </w:r>
    </w:p>
    <w:p>
      <w:r>
        <w:t>FR: CH_VB 20023194 du 30 septembre 1993</w:t>
      </w:r>
    </w:p>
    <w:p>
      <w:r>
        <w:t>IT: CH_VB 20023194 del 30 settembre 1993</w:t>
      </w:r>
    </w:p>
    <w:p>
      <w:pPr>
        <w:pStyle w:val="Heading2"/>
      </w:pPr>
      <w:r>
        <w:t>Erwägungen</w:t>
      </w:r>
    </w:p>
    <w:p>
      <w:r>
        <w:rPr>
          <w:b/>
        </w:rPr>
        <w:t>E. 30</w:t>
      </w:r>
    </w:p>
    <w:p>
      <w:r>
        <w:t>septembre 1993 M. Frey Claude, rapporteur: A l'article 336, nous sommes en présence de trois propositions. Je commencerai par la plus ra- dicale, celle de la minorité II (Sandoz), tant il est vrai, chère col- lègue, que l'on est toujours le radical de quelqu'un! M™ Sandoz, c'est-à-dire la minorité II, veut biffer cet article. Vous avez entendu l'argumentation de M. de Dardel: il n'y a pas de règle légale sans sanction, sinon c'est un simple chif- fon de papier. M™ Sandoz a répliqué en trois points. Je ne ré- sumerai pas son intervention parce que je le ferais mal, mais je crois pouvoir rappeler sans la trahir qu'elle consiste surtout à dire qu'il n'est pour le moins pas logique de sanctionner la vio- lation d'une règle de droit public par une conséquence de droit privé. Par 13 voix contre 6, la majorité de la commission vous de- mande cependant de ne pas suivre la minorité II (Sandoz). La minorité I (de Dardel) reprend le texte du Conseil des Etats, donc celui du Conseil fédéral. Quant à la majorité de la com- mission, en introduisant les mots «sans justes motifs» à l'alinéa 2 lettre c, elle veut introduire ici la notion de bonne foi ou, pour être plus juste, elle veut supprimer la présomption de mauvaise foi qui est liée à une règle de procédure. Vous aurez tous constaté ici, en observateurs attentifs, une di- vergence sensible, concernant le renvoi, à l'article 336 alinéa 2, soit dans le contenu de la parenthèse finale: dans le texte du Conseil fédéral, on renvoie à l'article 335f, tandis que, dans la proposition de la majorité, on renvoie à l'article 335f, mais seulement aux trois premiers alinéas, à l'exclusion donc du quatrième dont je rappelle la teneur. Cet alinéa stipule qu'«il (l'employeur) transmet à l'office cantonal du travail une copie de la communication prévue au 3e alinéa». Si l'on main- tient la version du Conseil fédéral, cela signifie par conséquent que l'employeur qui aurait omis de transmettre à l'office canto- nal du travail une copie de la communication pourrait se voir décréter un congé abusif. C'est ce que cela signifie, et la majo- rité de la commission estime que c'est excessif. Elle vous propose par conséquent, par 12 voix contre 11, d'in- troduire les mots «sans justes motifs», c'est-à-dire de prévoir l'introduction de la notion de bonne foi. Bundesrat Koller: Bei Artikel 336 Absatz 2 Buchstabe c geht es darum, die Einhaltung der Konsultationspflicht der Arbeit- geber zu gewährleisten, also mit einer Sanktion zu versehen. Zwar ist richtig, was Frau Sandoz gesagt hat: Die EG-Richtlinie selber sieht keine Sanktion vor, aber das ist im EG-Recht im- mer der Fall. Die Sanktionen müssen immer von den Mitglied- Staaten eingeführt und realisiert werden. Aber es ist ganz klar: Auch das EG-Recht verlangt von den Mitgliedstaaten, die er- forderlichen Rechts- und Verwaltungsvorschriften zu erlassen. Wir können daher dem Antrag der Minderheit II (Sandoz) in keiner Weise folgen. Frau Sandoz weiss selber am besten, dass eine Lex imperfecta, also eine Norm, die ohne jegliche Sanktion bleibt, toter Buchstabe bleiben würde. Dafür kann gerade im Rahmen des Zivilrechts kein Platz sein. Andernfalls wäre es konsequenter gewesen, wenn man auf die ganze Vor- lage überhaupt nicht eingetreten wäre. Wir wollen ja nicht Pa- piertiger schaffen, wenn wir Gesetze erlassen. Das sind die Gründe, weshalb ich Ihnen dringend empfehle, den Antrag der Minderheit II abzulehnen. Auch der Antrag der Mehrheit ist zweifellos nicht sachgerecht, auch wenn ich gestern angedeutet habe, dass ich für die Pro- blematik, die dahintersteht- ich konnte leider bei der Kommis- sionssitzung nicht dabeisein -, ein gewisses Verständnis habe. Es geht natürlich nicht an, dass man in einer Rechts- norm festlegt, dass der Arbeitgeber die Arbeitnehmer konsul- tieren müsse, ausser wenn er wichtige Gründe habe, es nicht zu tun. Das ist offensichtlich eine vollständig unbefriedigende Gesetzgebung. Aber wo liegt das Problem? Ich habe es Ihnen gestern ange- deutet: Es ist nicht dasselbe, ob ein Arbeitgeber die Arbeitneh- mer überhaupt nicht konsultiert, sie also überhaupt nicht über die bevorstehende Massenentlassung informiert, oder ob er nur eine Formvorschrift - beispielsweise diese Mitteilung an das Arbeitsamt - verletzt Hierin liegt die Schwäche, auch der bundesrätlichen Lösung, weil sie allzuviel dem richterlichen Ermessen überlässt. Auch müssen wir meiner Meinung nach noch einmal sorgfältig prüfen, ob es wirklich richtig ist, die gleiche Sanktion der miss- bräuchlichen Kündigung vorzusehen für den Fall, dass eine solche Formvorschrift nicht eingehalten wird. Der Fall einer un- terlassenen Mitteilung an das Arbeitsamt oder der Fall eines Arbeitgebers, der einem Arbeitnehmer kündigt, nur weil dieser gewerkschaftlich oder politisch in einem unerwünschten Sinne tätig ist, scheinen eben doch ganz unterschiedliche Tat- bestände zu beinhalten. Ich habe daher ein gewisses Ver- ständnis dafür, dass angesichts der Schwere der Sanktion - für jeden Betroffenen bis zu sechs Monatslöhnen - die Arbeit- geber sagen, hier werde dem Richter ein allzugrosser Ermes- sensspielraum überlassen. Das führt mich dazu, Ihnen folgendes zu sagen: An sich ist si- cher die Lösung des Bundesrates nach wie vor weitaus die be- ste. Aber meiner Meinung nach lohnt es sich, hier noch einmal über die Bücher zu gehen, um eben doch eine adäquatere Sanktionsnorm zu finden. Deshalb hätte ich in dieser Ausnah- mesituation auch nichts dagegen, wenn Sie der Mehrheit zu- stimmen würden, obwohl ich Ihnen heute schon ankündige: Ich würde diese Mehrheit, wenn sie so stehenbleiben würde, nachher bekämpfen. Aber Sie schaffen damit eine Differenz und damit die Möglichkeit, dieses delikate Problem der ad- äquaten Sanktion der Konsultationspflicht noch einmal gründ- lich zu überdenken. Wir werden das auch rechtsvergleichend tun. Abstimmung - Vote Eventuell-A titre préliminaire Für den Antrag der Mehrheit Für den Antrag der Minderheit l offensichtliche Mehrheit Minderheit Definitiv - Définitivement Für den Antrag der Mehrheit 81 Stimmen Fürden Antrag Minderheit II 52 Stimmen Abs. 3-AI. 3 Angenommen -Adopté Ziff. II, IM Antrag der Kommission Zustimmung zum Beschluss des Ständerates Ch. II, III Proposition de la commission Adhérer à la décision du Conseil des Etats Angenommen -Adopté Gesamtabstimmung - Vote sur l'ensemble Für Annahme des Entwurfes 83 Stimmen Dagegen 60 Stimmen An den Ständerat-Au Conseil des Etats</w:t>
      </w:r>
    </w:p>
    <w:p>
      <w:r>
        <w:t>Schweizerisches Bundesarchiv, Digitale Amtsdruckschriften Archives fédérales suisses, Publications officielles numérisées Archivio federale svizzero, Pubblicazioni ufficiali digitali Folgeprogramm nach der Ablehnung des EWR-Abkommens (Swisslex) Obligationenrecht. Zehnter Titel (Der Arbeitsvertrag). Aenderung Programme consécutif au rejet de l'Accord EEE (Swisslex) Code des obligations. Titre dixième (Du contrat de travail). Modification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09 Séance Seduta Geschäftsnummer 93.124 Numéro d'objet Numero dell'oggetto Datum 30.09.1993 - 08:00 Date Data Seite 1721-1724 Page Pagina Ref. No 20 023 194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