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20022865 vom 18. Juni 1993</w:t>
      </w:r>
    </w:p>
    <w:p>
      <w:r>
        <w:t>Bundesverwaltung, 1993-06-18, DE</w:t>
      </w:r>
    </w:p>
    <w:p>
      <w:r>
        <w:rPr>
          <w:b/>
        </w:rPr>
        <w:t xml:space="preserve">Quelle: </w:t>
      </w:r>
      <w:r>
        <w:t>https://mcp.opencaselaw.ch/entscheid/ch_vb__td_class__metadataCell__20022865__td_</w:t>
      </w:r>
    </w:p>
    <w:p>
      <w:r>
        <w:t>FR: CH_VB 20022865 du 18 juin 1993</w:t>
      </w:r>
    </w:p>
    <w:p>
      <w:r>
        <w:t>IT: CH_VB 20022865 del 18 giugno 1993</w:t>
      </w:r>
    </w:p>
    <w:p>
      <w:pPr>
        <w:pStyle w:val="Heading2"/>
      </w:pPr>
      <w:r>
        <w:t>Erwägungen</w:t>
      </w:r>
    </w:p>
    <w:p>
      <w:r>
        <w:rPr>
          <w:b/>
        </w:rPr>
        <w:t>E. 18</w:t>
      </w:r>
    </w:p>
    <w:p>
      <w:r>
        <w:t>juin 1993 Seilschaft noch deren Aktionären nahestehen - als verdecktes Eigenkapital im Sinne von Artikel 75 Absatz 2 DBG (Gesetz über die direkte Bundessteuer) und Artikel 29 Absatz 3 zwei- ter Satz StHG (Steuerharmonisierungsgesetz) aufgerechnet wird. Dieses Anliegen ist an sich gerechtfertigt, denn die strikte An- wendung der Rechtsgrundlage würde in der Tat wirtschaftli- che Doppelbesteuerungen verursachen: kein Abzug der Zin- sen in der Immobiliengesellschaft und auch keine Behand- lung dieser Zinsen wie Beteiligungserträge beim Empfänger. Nichtsdestoweniger hat die von den eidgenössischen Räten mit Beharrlichkeit beschlossene Vorschrift für Immobilienge- sellschaften insofern ihren guten Sinn, als sie den Aktionären einer Immobiliengesellschaft eine erhöhte Pflicht zur Finanzie- rung mit Eigenmitteln auferlegt In vergangenen Jahren muss- ten nämlich bei Immobiliengesellschaften mit kleinem Aktio- närskreis allzuoft Missbräuche und damit u. a auch gewaltige Steuerausfälle hingenommen werden. Von der Finanzierung durch eine Bank her gesehen ist es auch nicht sinnvoll, wenn ein ungenügendes Eigenkapital vorhanden ist; im Prinzip müssten mindestens 20 Prozent Eigenkapital vorhanden sein, damit eine Bank einen Kredit geben kann. Die Auswirkungen der Verletzung dieser Regel haben Sie in der letzten Zeit ver- schiedentlich erlebt Es gibt noch andere Gründe; ich will nicht auf den Zweitwohnungsbau in verschiedenen Regionen ein- gehen, wo das auch eine gewisse Rolle gespielt hat Herr Stucky sagt, man habe damit die Spekulation verhindern wollen, damit aber keinen Erfolg gehabt. Dazu ist zu sagen, dass man damit der Spekulation zweifellos einen gewissen Riegel geschoben hätte. Verhindern konnte man sie nicht, weil das Gesetz erst auf den 1. Januar 1995 in Kraft tritt. Es ist noch gar nicht in Kraft, und deshalb kann es natürlich auch nicht ge- wirkt haben. Das ist selbstverständlich. Es wäre indessen unverhältnismässig, wenn aus dem ge- nannten Grunde echtes Fremdkapital, das überdies nur für die Zwecke der Immobiliengesellschaften aufgenommen wurde, steuerlich strenger als in allen übrigen Fällen behandelt würde. Es ist aber eine offene Frage, ob es sinnvoll ist, wenn man bis zu 95 Prozent mit Fremdkapital finanziert Meines Erachtens ist das nicht sinnvoll. Daraus wird klar, dass es nicht die Absicht des Gesetzgebers sein kann, Wohnbaugenossenschaften oder Immobilienge- sellschaften mit verhältnismässig grossem Aktionärskreis steuerlich anders als im Lichte des in Artikel 75 Absatz 1 des Bundesgesetzes über die direkte Bundessteuer verankerten Grundsatzes zu behandeln. Dieser Grundsatz besagt denn auch, dass steuerlich insoweit verdecktes Eigenkapital vor- liegt, als dem Fremdkapital wirtschaftlich die Bedeutung von Eigenkapital zukommt. Diese Frage lässt sich objektiv nach dem sogenannten Grundsatz des Drittvergleichs beantwor- ten. Wir sind daher der Auffassung, dass die zur Diskussion stehende Vorschrift über das verdeckte Eigenkapital der Im- mobiliengesellschaften nicht ganz aufgegeben, sondern bloss dahingehend modifiziert werden sollte, dass zwischen dem Eigenkapital und dem von den Aktionären gewährten Darlehen ein bestimmtes Verhältnis gewahrt wird. Für echte Drittschulden wäre dagegen nach wie vor nicht das Steuer- recht, sondern es wären der Markt und dessen Regeln mass- gebend. Sie sehen hier, dass wir durchaus bereit sind, das Gesetz zu ändern, dass wir es aber in dieser absoluten Form nicht akzep- tieren könnten. Das war der Grund, weshalb wir hier bei dieser Motion die Umwandlung in ein Postulat vorgeschlagen haben. Das ist meines Erachtens richtig. Ich weiss aber natürlich auch, dass der Ständerat bereits eine gleichlautende Motion angenommen hat. Es scheint heute ja immer üblicher zu werden, dass in beiden Räten gleichlautende Motionen eingereicht werden. Das hat den grossen Vorteil, dass die Räte den Motionen unbedacht und ohne Ueberprüfung durch eine Kommission gegenseitig zustimmen können. Der Bundesrat hat dazu nichts zu sagen, und vor allem hat keine Kommission etwas dazu zu sagen. Es findet also keine Kommissionssitzung statt, in der die Frage ernsthaft geprüft wird. Der Bundesrat hat beantragt, die Motion sei als Postulat zu überweisen; ich bin bereit, eine Motion zu akzeptieren. Diese Materie wird nach den bisherigen Ausführungen ohnehin als Motion überwiesen. Dann können Sie sich die Abstimmung sparen. Hingegen, Herr Stucky, wäre es nicht sehr zweckmässig, über diese Frage schon am 21. Juni 1993 anlässlich der Sitzung der nationalrätlichen WAK bei der Behandlung einer anderen steuerlichen Materie zu befinden. Das wäre nicht sehr sinnvoll. Sie sollten auch hier dann eine wirkliche Dokumentation ha- ben. Wir haben den Auftrag gegeben, diese Revision an die Hand zu nehmen. Ich habe der Steuerverwaltung auch ge- sagt, es gebe noch andere Probleme, die man in diesem Ge- setz korrigieren müsse beziehungsweise korrigieren sollte, weil sie damals - auch aus einem Momentdenken heraus - eben so und nicht anders geregelt worden sind. Gerade in der Steuergesetzgebung sollte man vermeiden, dass man aus ei- ner bestimmten Optik, aus einer bestimmten wirtschaftlichen Situation heraus alles ändert, ohne zu überlegen, was in der Zukunft sinnvoll sein könnte, wenn sich die Zeiten wieder ge- ändert haben. Ein Steuergesetz sollte eben für gute wie für schlechte Zeiten Geltung haben. Ueberwiesen - Transmis #ST# 92.404 Parlamentarische Initiative (Zisyadis) Stimm- und Wahlrecht für Ausländer Initiative parlementaire (Zisyadis) Droit de vote et d'éligibilité des étrangers Kategorie IV, Art. 68 GRN - Catégorie IV, art 68 RCN Wortlaut der Initiative vom 4. März 1992 Die Bundesversammlung wird eingeladen, die gesetzlichen Bestimmungen zu ändern, um den Ausländern, die seit mehr als zehn Jahren in unserem Land ansässig sind, auf allen Ebenen des Gemeinwesens das Stimm- und Wahlrecht zu gewähren. Texte de l'initiative du 4 mars 1992 L'Assemblée fédérale est invitée à modifier les dispositions lé- gales, permettant d'accorder le droit de vote et d'éligibilité des étrangers établis depuis plus de dix ans dans notre pays, et ceci à tous les niveaux de la vie politique. Mitunterzeichner - Cosignataires: Aguet, Caspar-Hutter, de Dardel, Fankhauser, Goll, Gross Andreas, Haering Binder, Hafner Ursula, Jeanprêtre, Jori, Ruffy, Spielmann, Steiger, Strahm Rudolf (14) Frau Zölch unterbreitet im Namen der Kommission den fol- genden schriftlichen Bericht: Wir unterbreiten Ihnen gemäss Artikel 21 ter des Geschäftsver- kehrsgesetzes den Bericht der vorprüfenden Kommission über die von Nationalrat Zisyadis am 4. März 1992 einge- reichte parlamentarische Initiative. Die Initiative verlangt, dass den Ausländern und Ausländerinnen, die seit mehr als zehn Jahren in unserem Land ansässig sind, auf allen Ebenen des Gemeinwesens das Stimm- und Wahlrecht gewährt wird. Die Kommission hat am 12. November 1992 den Initianten an- gehört. Begründung des Initianten Die Schweiz ist heute schon eine multikulturelle und ethnisch gemischte Gesellschaft Diese Vielfalt ist eine Chance für un-</w:t>
      </w:r>
    </w:p>
    <w:p>
      <w:r>
        <w:t>Schweizerisches Bundesarchiv, Digitale Amtsdruckschriften Archives fédérales suisses, Publications officielles numérisées Archivio federale svizzero, Pubblicazioni ufficiali digitali Motion Engler Wohnbau- und Immobiliengesellschaften. Besteuerung Motion Engler Sociétés immobilières. Imposition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92.3530 Numéro d'objet Numero dell'oggetto Datum 18.06.1993 - 08:00 Date Data Seite 1363-1364 Page Pagina Ref. No</w:t>
      </w:r>
    </w:p>
    <w:p>
      <w:r>
        <w:rPr>
          <w:b/>
        </w:rPr>
        <w:t>E. 20</w:t>
      </w:r>
    </w:p>
    <w:p>
      <w:r>
        <w:t>022 865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