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20022819 vom 9. Juni 1993</w:t>
      </w:r>
    </w:p>
    <w:p>
      <w:r>
        <w:t>Bundesverwaltung, 1993-06-09, DE</w:t>
      </w:r>
    </w:p>
    <w:p>
      <w:r>
        <w:rPr>
          <w:b/>
        </w:rPr>
        <w:t xml:space="preserve">Quelle: </w:t>
      </w:r>
      <w:r>
        <w:t>https://mcp.opencaselaw.ch/entscheid/ch_vb__td_class__metadataCell__20022819__td_</w:t>
      </w:r>
    </w:p>
    <w:p>
      <w:r>
        <w:t>FR: CH_VB 20022819 du 9 juin 1993</w:t>
      </w:r>
    </w:p>
    <w:p>
      <w:r>
        <w:t>IT: CH_VB 20022819 del 9 giugno 1993</w:t>
      </w:r>
    </w:p>
    <w:p>
      <w:pPr>
        <w:pStyle w:val="Heading2"/>
      </w:pPr>
      <w:r>
        <w:t>Erwägungen</w:t>
      </w:r>
    </w:p>
    <w:p>
      <w:r>
        <w:rPr>
          <w:b/>
        </w:rPr>
        <w:t>E. 9</w:t>
      </w:r>
    </w:p>
    <w:p>
      <w:r>
        <w:t>juin 1993 Angenommen gemäss Antrag der Kommission Adopté selon la proposition de la commission Art. 3 Antrag der Kommission Abs.1 Mehrheit Zustimmung zum Beschluss des Ständerates Minderheit (Seiler Hanspeter, Aubry, de Dardel, Ruf, Steinemann, Tschopp) Der Beschluss tritt am 1. Januar 1994 unter dem Vorbehalt, dass ihn der Amtsbezirk Laufen in derselben Volksabstim- mung annimmt, in Kraft Abs. 2 Zustimmung zum Beschluss des Ständerates Art. 3 AI. 1 Proposition de la commission Majorité Adhérer à la décision du Conseil des Etats Minorité (Seiler Hanspeter, Aubry, de Dardel, Ruf, Steinemann, Tschopp) Le présent arrêté entre en vigueur le 1 er janvier 1994 sous ré- serve que le district de Laufon l'approuve lors de la même vota- tion populaire. Al. 2 Adhérer à la décision du Conseil des Etats Abs. 1 -Al. 1 Seiler Hanspeter, Sprecher der Minderheit: Eine Vorbemer- kung: Die Kommissionsminderheit will mit ihrem Antrag, der für den Kantonswechsel die Zustimmung des Amtsbezirkes Laufen vorbehält, überhaupt nicht in Verzögerungstaktik ma- chen. Die Abstimmungen können wie vorgesehen stattfinden, dafür gibt es keinen Hinderungsgrund. Weshalb nun dieser Antrag? Das Verfahren auf Kantonsstufe ist bekanntlich abgeschlossen. Nun läuft dasjenige auf der eidgenössischen Ebene und Tatsache ist, dass nun jede Schweizerin und jeder Schweizer in dieser Frage zu entschei- den hat Gehen wir dabei einmal von einer an sich möglichen Annahme aus: In der eidgenössischen Volksabstimmung sa- gen Volk und Stände ja, das Laufental sagt nein. Ein Vorbehalt im Sinne der Minderheit bestünde nicht Praktisch hiesse das, dass das Schweizervolk einer Region einen Kantonswechsel aufgezwungen hätte. Das ist doch in Gottes Namen einfach eine staatspolitische Katastrophe, die nicht passieren darf. Welch schlechter Start in eine gemeinsame Zukunft wäre das, und wie sollen denn die Kantone Basel-Landschaft und Bern mit einem solchen Entscheid umgehen? Wie soll der Kanton Basel-Landschaft eine Mehrheit des Laufentales integrieren, die gar nicht zu diesem Kanton will, und wie könnte das Schweizervolk einen solchen Entscheid, der einem Zwangs- transfer einer Region in einen anderen Kanton bewirkt, vor der Geschichte rechtfertigen? Man hält mir entgegen, dass Direktbetroffene sich immer ei- nem Mehrheitsentscheid zu unterziehen haben. Dabei werden immer wieder Beispiele wie «Bahn 2000»-Projekte, National- strassen projekte oder Linienführungen oder auch Neuchlen- Anschwilen genannt Solche Vergleiche hinken. Entscheide über Kantonswechsel, Entscheide dieser Grössenordnung bewegen sich staatspolitisch auf einer ganz anderen Ebene. Es geht ja nicht um ein Erdulden einer Autobahn, eines Waf- fenplatzes, einer Linienführung der SBB im Interesse einer ge- samten Volkswirtschaft Es geht nicht um ein Opfererbringen im Interesse der Allgemeinheit oder im Interesse übergeord- neter Staatsaufgaben. Es geht hier wirklich um eine ganz an- dere, staatspolitisch heikle Dimension; es geht um Bürger- rechte. Es geht hier auch um so etwas wie Heimat, ob man das wahrhaben will oder nicht, und das ist weiss Gott nichts Ne- gatives. Darf ich Sie an einen Entscheid in ähnlicher Sache erinnern? Sowohl Ständerat wie Nationalrat lehnten 1947 beziehungs- weise 1948 die Gewährleistung der Wiedervereinigungsartikel der Kantone Basel-Stadt und Basel-Landschaft ab, weil dieser Artikel im Baselbiet bei etwa 21 000 Stimmenden mit einem Ja-Ueberschuss von bloss 802 Stimmen angenommen wor- den war. Sowohl Ständerat wie Nationalrat erachteten diese Mehrheit damals als zu zufällig, auch sie sprachen im Zusam- menhang mit territorialen Veränderungen grösseren Stils von erforderlichen qualifizierten Mehrheiten, die eine Gewährlei- stung vorauszusetzen hätte. Es ist bekanntlich nie verboten, aus der Geschichte zu lernen und gute Entscheide, die einmal getroffen worden sind, in analogen Fällen wieder anzu- wenden. Ich meine, dass staatspolitische Ueberlegungen im Falle des Laufentals in diesem Jahr wie anno 1947/48 Vorrang vor stren- ger rechtsstaatlicher Interpretation haben müssen. Demokra- tie braucht eben manchmal auch Mut Es war gestern mehrmals die Rede vom Aendern der Spielre- geln. Ich habe dazu zwei Gedanken: 1. Zu den ganz wichtigen Grundelementen der Spielregeln dieses Verfahrens zählt unter anderem die Zustimmung des Laufentals. Dieses Element des Verfahrens wird bloss wieder- holt Es wird im Grunde genommen überhaupt kein neues Ele- ment, keine neue Regel geschaffen oder eingeführt Der Ent- scheid liegt ja bereits vier volle Jahre zurück, es ist vier Jahre her, seitdem diese Regel angewandt wurde. Bedenken Sie - man hat gestern darauf hingewiesen -, dass sechs volle Jahr- gänge - das dürfte mindestens ein Achtel der Stimmberechtig- ten des Laufentals sein - in dieser wichtigen Phase von der Teilnahme am Entscheid ausgeschlossen blieben. 2. Im Vorfeld der damaligen Abstimmung fanden verschie- dene Besprechungen zwischen Vertretern des Laufentals und des Kantons Basel-Landschaft statt Es wurden damals Zusi- cherungen abgegeben, die den damaligen Entscheid zwei- felsohne mitbeeinflusst haben. Es ist aber heute ebenso klar, dass viele dieser damals abge- gebenen Zusicherungen seitens des Kantons Baselland - da- für können diese Leute selbstverständlich nichts - nicht mehr eingehalten werden können. Damit ist eine Grundlage des da- maligen Entscheides auch nicht mehr ganz hundertprozentig gegeben. Müssten wir bei einer für den Bürger und die Bürge- rin so wichtigen und sensiblen Frage - bei einer Frage von her- ausragender staatspolitischer Bedeutung - nicht, zumindest bei diesem Laufentalentscheid, erstens nach dem Grundsatz der Gleichzeitigkeit des Entscheidens und zweitens nach dem Grundsatz des gleichen Erkenntnisstandes gehen? Wir glau- ben, im Interesse einer guten Zukunft sei das von ausseror- dentlicher Bedeutung. Darf ich Sie auch daran erinnern, dass wir uns ständig bemühen, eine innere Integration zu fördern? Das ist in unserer Zeit ein wichtiger Aspekt. Haben Sie nicht auch den Eindruck, wenn man hier dem Laufental Gelegen- heit gibt, zu dieser Frage noch einmal Stellung zu nehmen - gleichzeitig mit der eidgenössischen Abstimmung -, dass man damit bedeutend mehr zu diesem inneren Befriedungs- prozess beitragen kann? Staatspolitische Weitsicht und de- mokratische Grosszügigkeit sind Gütesiegel des schweize- rischen Staatswesens. Lassen wir sie auch hier zum Zuge kommen. Ich bitte Sie in diesem Sinne, dem Antrag der Minderheit im In- teresse der erwähnten Aspekte zuzustimmen. Ruckstuhl: Die CVP-Fraktion sagt nein zum Antrag der Min- derheit Seiler Hanspeter und ja zu demjenigen der Mehrheit der Kommission. Zwei Gründe sind dazu vor allem ausschlag- 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