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20021607 vom 30. September 1992</w:t>
      </w:r>
    </w:p>
    <w:p>
      <w:r>
        <w:t>Bundesverwaltung, 1992-09-30, DE</w:t>
      </w:r>
    </w:p>
    <w:p>
      <w:r>
        <w:rPr>
          <w:b/>
        </w:rPr>
        <w:t xml:space="preserve">Quelle: </w:t>
      </w:r>
      <w:r>
        <w:t>https://mcp.opencaselaw.ch/entscheid/ch_vb__td_class__metadataCell__20021607__td_</w:t>
      </w:r>
    </w:p>
    <w:p>
      <w:r>
        <w:t>FR: CH_VB 20021607 du 30 septembre 1992</w:t>
      </w:r>
    </w:p>
    <w:p>
      <w:r>
        <w:t>IT: CH_VB 20021607 del 30 settembre 1992</w:t>
      </w:r>
    </w:p>
    <w:p>
      <w:pPr>
        <w:pStyle w:val="Heading2"/>
      </w:pPr>
      <w:r>
        <w:t>Erwägungen</w:t>
      </w:r>
    </w:p>
    <w:p>
      <w:r>
        <w:rPr>
          <w:b/>
        </w:rPr>
        <w:t>E. 30</w:t>
      </w:r>
    </w:p>
    <w:p>
      <w:r>
        <w:t>September 1992 . N 1831 Eurolex. Zollgesetz Bundesrat Stich: Ich wundere mich, wie Sie Differenzen schaf- fen - bei der Belastung, die Sie haben. Ich sehe wirklich kei- nen Grund für die Schaffung einer Differenz; materiell gibt es keinen Unterschied. Der bisherige Zustand wird beibehalten. Aber warum wollen Sie etwas absolut, effektiv und definitiv auf 50 Prozent festlegen? Warum wollen Sie diesen Spielraum nicht offenlassen? Glauben Sie, die EG-Richtlinien seien nicht veränderlich? Sie sind sehr veränderlich. Deshalb sollten Sie doch nicht in Arbeitsbeschaffungsmassnahmen machen. Stimmen Sie dem Ständerat zu und nicht Ihrer Kommission. Abstimmung - Vote Für den Antrag der Kommission Für den Antrag Wick 72 Stimmen 42 Stimmen Art. 27-30; 32 Abs. 1 ; 33; 40 Abs. 3 Bst. a, Abs. 4, Ziff. II Antrag der Kommission Zustimmung zum Beschluss des Ständerates Art. 27-30; 32 al. 1 ; 33; 40 al. 3 let. a, al. 4, eh. II Proposition de la commission Adhérer à la décision du Conseil des Etats Präsident: Für die Uebergangsbestimmungen gilt der Vorbe- halt der definitiven Regelung des Referendums. Angenommen -Adopté Gesamtabstimmung - Vote sur l'ensemble Für Annahme des Entwurfes 92 Stimmen Dagegen 20 Stimmen An den Ständerat - Au Conseil des Etats #ST# 92.057-10 EWR. Anpassung des Bundesrechts (Eurolex) Zollgesetz. Aenderung EEE. Adaptation du droit fédéral (Eurolex) Loi fédérale sur les douanes. Modification Botschaft l und Beschlussentwurf vom 27. Mai 1992 (BBIV1 ) Message l et projet d'arrêté du 27 mai 1992 (FF V1 ) Beschluss des Ständerates vom 25. August 1992 Décision du Conseil des Etats du 25 août 1992 Kategorie IV, Art 68 GRN - Catégorie IV, art 68 RCN Antrag der Kommission Eintreten Antrag derSD/Lega-Fraktion Nichteintreten Antrag der Fraktion der Auto-Partei Rückweisung des Geschäfts 92.057-10 Eurolex an den Bun- desrat mit dem Auftrag, klare Arbeitspapiere vorzulegen, welche den geltenden Gesetzestext, die Forderung des Acquis commu- nautaire, den Entwurf des Bundesrates und den Entscheid der Kommission in der auf Fahnen üblichen synoptischen Darstel- lung zeigen. Proposition de la commission Entrer en matière Proposition du groupe DS/Ligue Ne pas entrer en matière Proposition du groupe des automobilistes Renvoyer le projet Eurolex 92.057-10 au Conseil fédéral en l'invitant à soumettre des documents de travail qui présen- tent avec toute la clarté souhaitable, au moyen des dépliants habituels, le texte de loi actuellement en vigueur, les exigen- ces de l'acquis communautaire, le projet du gouvernement et la décision de la commission. Thür, Berichterstatter: Die Aenderung des Zollgesetzes finden Sie in der Botschaft l auf den Seiten 197ff. umschrieben: «Die Artikel 47 bis 52 des EWR-Abkommens sehen die Gleichbe- handlung aller im Europäischen Wirtschaftsraum ansässigen Verkehrsunternehmer vor. Gemäss der Verordnung Nr. 4059/89 des Rates vom 21. Dezember 1989 zur Festle- gung der Bedingungen für die Zulassung von Verkehrsunter- nehmen zum Güterkraftverkehr.... wird jeder Unternehmer des gewerblichen Güterverkehrs, der in einem Mitgliedstaat niedergelassen ist und dort die Genehmigung für den grenz- überschreitenden Güterverkehr erhalten hat, unter den Be- dingungen dieser Verordnung zum zeitweiligen gewerbli- chen Güterverkehr in einem ändern Mitgliedstaat zugelas- sen. Diese Verordnung bildet Gegenstand des EWR-Abkom- mens und gilt bis Ende 1992; sie wird bis zum Inkrafttreten des Binnenmarktes aller Voraussicht nach durch eine neue ersetzt....» Nach der heute in unserem Lande geltenden Rechtslage ist die Kabotage, das heisst der Inland- oder Binnentransport mit unverzollten Fahrzeugen, verboten. Die neue Regelung, wie sie Ihnen nun vorgeschlagen wird, schreibt die Zulassung der Kabotage vor. Die Aufhebung dieses Kabotageverbots hat we- der personelle noch finanzielle Auswirkungen, wird aber dazu beitragen, dass die Zahl der Leerfahrten durch unser Land et- was abnimmt-wahrscheinlich aber nicht in dem Sinne, dass es weniger Lastwagenverkehr geben wird, aber immerhin, dass die leeren Lastwagen dann wenigstens teilweise auch beladen werden. In diesem Sinne bitte ich Sie im Namen der Kommission, die- ser Aenderung zuzustimmen. M. Gobet, rapporteur: Le régime juridique en vigueur interdit le cabotage, c'est-à-dire le transport intérieur au moyen de vé- hicules non dédouanés. Les articles 47 à 52 de l'Accord sur l'EEE prévoient l'égalité de traitement pour tous les transpor- teurs résidant dans l'Espace économique européen. En vertu du règlement no 4059/89 du conseil du 21 décembre 89 fixant les conditions de l'admission de transporteurs non résidents aux transports nationaux de marchandises par route dans un Etat membre, modifié par un autre règlement (CE 296/91) fixant les conditions de l'admission de transporteurs non rési- dents aux transports nationaux de marchandises, «tout trans- porteur de marchandises par route pour le compte d'autrui qui est établi dans un Etat membre et qui y est habilité à effectuer des transports internationaux de marchandises, est admis aux conditions fixées par ledit règlement à effectuer à titre tempo- raire des transports nationaux de marchandises pour le compte d'autrui dans un autre Etat membre». Ce règlement est objet de l'Accord sur l'EEE et applicable jusqu'à fin 1992, à l'entrée en vigueur du marché unique il sera vraisemblable- ment remplacé par un autre règlement La suppression de l'interdiction du cabotage n'entraîne ni conséquence finan- cière ni effet sur l'état du personnel. La nouvelle réglementa- tion prescrit l'admission du cabotage. S'agissant du poids et du gabarit autorisés des véhicules concernés par cette nouvelle disposition, puisqu'il s'agira en général de véhicules étrangers qui ne correspondent pas for- cément aux normes en vigueur jusqu'à présent dans notre pays, la modification de la loi sur la circulation routière com- prise dans le programme Eurolex permettra l'ouverture néces- saire. Avec ces quelques informations, la commission vous invite à approuver la modification proposée de la loi sur les douanes.</w:t>
      </w:r>
    </w:p>
    <w:p>
      <w:r>
        <w:t>Schweizerisches Bundesarchiv, Digitale Amtsdruckschriften Archives fédérales suisses, Publications officielles numérisées Archivio federale svizzero, Pubblicazioni ufficiali digitali EWR. Anpassung des Bundesrechts (Eurolex) Bundesgesetz über die gebrannten Wasser (Alkoholgesetz). Aenderung EEE. Adaptation du droit fédéral (Eurolex) Loi fédérale sur l'alcool. Modification In Amtliches Bulletin der Bundesversammlung Dans Bulletin officiel de l'Assemblée fédérale In Bollettino ufficiale dell'Assemblea federale Jahr 1992 Année Anno Band V Volume Volume Session Herbstsession Session Session d'automne Sessione Sessione autunnale Rat Nationalrat Conseil Conseil national Consiglio Consiglio nazionale Sitzung 08 Séance Seduta Geschäftsnummer 92.057-9 Numéro d'objet Numero dell'oggetto Datum 30.09.1992 - 08:00 Date Data Seite 1826-1831 Page Pagina Ref. No 20 021 607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