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20021493 vom 28. August 1992</w:t>
      </w:r>
    </w:p>
    <w:p>
      <w:r>
        <w:t>Bundesverwaltung, 1992-08-28, DE</w:t>
      </w:r>
    </w:p>
    <w:p>
      <w:r>
        <w:rPr>
          <w:b/>
        </w:rPr>
        <w:t xml:space="preserve">Quelle: </w:t>
      </w:r>
      <w:r>
        <w:t>https://mcp.opencaselaw.ch/entscheid/ch_vb__td_class__metadataCell__20021493__td_</w:t>
      </w:r>
    </w:p>
    <w:p>
      <w:r>
        <w:t>FR: CH_VB 20021493 du 28 août 1992</w:t>
      </w:r>
    </w:p>
    <w:p>
      <w:r>
        <w:t>IT: CH_VB 20021493 del 28 agosto 1992</w:t>
      </w:r>
    </w:p>
    <w:p>
      <w:pPr>
        <w:pStyle w:val="Heading2"/>
      </w:pPr>
      <w:r>
        <w:t>Erwägungen</w:t>
      </w:r>
    </w:p>
    <w:p>
      <w:r>
        <w:rPr>
          <w:b/>
        </w:rPr>
        <w:t>E. 28</w:t>
      </w:r>
    </w:p>
    <w:p>
      <w:r>
        <w:t>August 1992 N 1467 Wohnbau- und Eigentumsförderung Die Betriebskommissionen sind aber gemäss Artikel 14 Ab- satz 1 ermächtigt, gegenüber betriebsfremden Personen das Verschwiegenheitsgebot zu brechen und diesen betriebs- fremden Personen ihnen zugegangene vertrauliche Informa- tionen weiterzugeben, wenn diese betriebsfremden Personen mit der Wahrung der Interessen der Arbeitnehmer betraut sind. Die Mitglieder der Betriebskommissionen sollten sich also bei- spielsweise mit einem Funktionär einer Arbeitnehmerorgani- sation beraten dürfen. Die Arbeitgeber akzeptieren - wenn auch zum Teil mit grossen Bedenken - diese Weiterverbrei- tung vertraulicher Informationen über den Betrieb hinaus, al- lerdings nur mit einer unerlässlichen Klarstellung: Auch diese betriebsfremden Personen müssen einer gleichlautenden Verschwiegenheitspflicht unterstellt werden, und zwar ohne Wenn und Aber und ohne zu Interpretationskunststücken Zu- flucht nehmen zu müssen. Es macht wenig Sinn, die Mitglieder der Betriebskommissio- nen zur Verschwiegenheit zu verpflichten, wenn die von den Betriebskommissionen orientierten Gewerkschaftssekretäre ihr Wissen ohne Schranken in der Oeffentlichkeit verwerten dürften, also mit Pressekonferenzen, Medienkontakten, Be- triebsversammlungen usw. ihr anvertrautes Wissen der Oef- fentlichkeit preisgeben könnten. Es gilt diese Lücke zu schlies- sen und die Verschwiegenheitspflicht über das anvertraute Wissen auch für die genannte Gruppe betriebsfremder Perso- nen zu stipulieren. Dies geschieht mit meinem Antrag; er ist EWR-konform und entspricht dem Sinn und Geist dieses Gesetzes. Ich bitte Sie, meinem Ergänzungsantrag zu Artikel 14 Absatz 2bis zuzu- stimmen. M. Matthey, rapporteur: La proposition de M. Allenspach va tout à fait dans le sens de la proposition que la commission a formulée dans son article 2bis et il est vrai que la participation implique la confiance et la collaboration. Pour qu'il y ait confiance et collaboration, il faut que le dialogue puisse s'ins- taurer en toute sérénité sans crainte que les informations qui s'échangent, dépassent le cadre dans lequel elle sont faites. En conséquence et sans allonger, nous déclarons que nous sommes d'accord avec la proposition de M. Allenspach, qui précise aussi, par rapport à celle de la commission, que les re- présentants extérieurs avec lesquels les travailleurs doivent éventuellement prendre contact, par exemple un avocat, soient également tenus à la discrétion. Nous nous rallions à cette proposition. Fischer-Sursee, Berichterstatter: Der Antrag von Herrn Allenspach lag in der Kommission nicht vor, aber wir haben die Vertraulichkeit und die Geheimhaltung in ähnlicher Rich- tung erweitert, indem wir in Absatz 2bis die Arbeitnehmer, die keine Vertretung haben, direkt zu Verschwiegenheit verpflich- ten. Aus dieser Erweiterung ziehe ich die logische Konse- quenz, dass die Kommission, wenn sie auf die Idee gekom- men wäre, hier zu legiferieren, ebenso gehandelt hätte, wie Herr Allenspach es uns nun vorschlägt Sein Vorschlag ist lo- gisch und konsequent, und er ist auch zweckmässig, denn er fördert die Vertraulichkeit und auch die Möglichkeit, dass der Arbeitgeber offen informiert und nicht Angst haben muss, dass Geheimnisse indirekt aus dem Betrieb hinausgehen. Deshalb empfehlen wir Ihnen, dem Antrag Allenspach zuzu- stimmen. Abstimmung - Vote Für den Antrag Allenspach Für den Antrag der Kommission Art. 15,16 Antrag der Kommission Zustimmung zum Entwurf des Bundesrates Proposition de la commission Adhérer au projet du Conseil fédéral Angenommen -Adopté 73 Stimmen 35 Stimmen Art. 17 Antrag der Kommission Zustimmung zum Entwurf des Bundesrates Proposition de la commission Adhérer au projet du Conseil fédéral Präsident: Bei der Regelung des Inkrafttretens können wir nur vorbehaltlich des definitiven Entscheides zur Frage des Refe- rendums zustimmen. Angenommen -Adopté Gesamtabstimmung - Vote sur l'ensemble Für Annahme des Entwurfes 106 Stimmen Dagegen 22 Stimmen An den Ständerat-Au Conseil des Etats #ST# 92.041 Wohnbau-und Eigentumsförderung. Rahmenkredite Construction et accession à la propriété de logements. Crédits-cadres Botschaft und Beschlussentwurf vom 8. April 1992 (BBIIII760) Message et projet d'arrêté du 8 avril 1992 (FF III 755) Kategorie III, Art. 68 GRN - Catégorie 111, art. 68RCN Antrag der Kommission Eintreten Antrag der SD/Lega-Fraktion Nichteintreten Proposition de la commission Entrer en matière Proposition du groupe DS/Ligue Ne pas entrer en matière Gysin, Berichterstatter: Die Kommission beantragt Ihnen mit 20 zu 1 Stimmen, dem Beschluss beizupflichten. So eindeutig dieser Antrag ist, er bedarf einiger Erläuterungen. Die eidgenössischen Räte haben letztes Jahr zusätzliche Wohnbaukredite gesprochen; mehr, als der Bundesrat seiner- zeit beantragt hatte. Sie bewilligten eine Erhöhung um 1,2 Mil- liarden Franken für nichtrückzahlbare Beiträge und um 300 Millionen Franken für rückzahlbare Darlehen. Man kann fragen, warum ein Jahr später nochmals so massiv aufge- stockt werden solle. Darauf ist vorerst zu antworten, dass es dieses Jahr um eine wesentlich andere Art von Kredit geht Die jetzt beantragten 7,4 Milliarden Franken sind für Eventualver- pflichtungen bestimmt, d. h. für Bürgschaften und Schuldver- pflichtungen gegenüber Banken. Das steht im Zusammen- hang mit der Subventionierung, doch steckt kein einziger Franken direkter Wohnbausubventionierung drin, sondern es geht um die Erleichterung der Wohnbaufinanzierung, eine wichtige Aufgabe. Hierfür sind die früher bewilligten Mittel so- zusagen aufgebraucht Auch wir haben nicht die Gabe, alles vorauszusehen. Letztes Jahr stellte man mit Besorgnis einen erneuten Rückgang des Wohnungsbaus fest. Aber man hatte noch etwas Hoffnung, die Situation könnte sich bald ein wenig zum Besseren wen- den. So glaubte man auch, die Mittel für Eventualverpflichtun- gen könnten noch für einige Jahre ausreichen. Die wirtschaftli- che Flaute und die Kreditschwierigkeiten sind jedoch hart- näckiger, als man dachte, hartnäckiger auch, als Konjunktur-</w:t>
      </w:r>
    </w:p>
    <w:p>
      <w:r>
        <w:t>Schweizerisches Bundesarchiv, Digitale Amtsdruckschriften Archives fédérales suisses, Publications officielles numérisées Archivio federale svizzero, Pubblicazioni ufficiali digitali EWR. Anpassung des Bundesrechts (Eurolex) Information und Mitsprache der Arbeitnehmer in den Betrieben. Bundesbeschluss EEE. Adaptation du droit fédéral (Eurolex) Information et consultation des travailleurs dans les entreprises.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07 Séance Seduta Geschäftsnummer 92.057-40 Numéro d'objet Numero dell'oggetto Datum 28.08.1992 - 08:00 Date Data Seite 1461-1467 Page Pagina Ref. No 20 021 493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