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20020985 vom 21. März 1991</w:t>
      </w:r>
    </w:p>
    <w:p>
      <w:r>
        <w:t>Bundesverwaltung, 1991-03-21, DE</w:t>
      </w:r>
    </w:p>
    <w:p>
      <w:r>
        <w:rPr>
          <w:b/>
        </w:rPr>
        <w:t xml:space="preserve">Quelle: </w:t>
      </w:r>
      <w:r>
        <w:t>https://mcp.opencaselaw.ch/entscheid/ch_vb__td_class__metadataCell__20020985__td_</w:t>
      </w:r>
    </w:p>
    <w:p>
      <w:r>
        <w:t>FR: CH_VB 20020985 du 21 mars 1991</w:t>
      </w:r>
    </w:p>
    <w:p>
      <w:r>
        <w:t>IT: CH_VB 20020985 del 21 marzo 1991</w:t>
      </w:r>
    </w:p>
    <w:p>
      <w:pPr>
        <w:pStyle w:val="Heading2"/>
      </w:pPr>
      <w:r>
        <w:t>Erwägungen</w:t>
      </w:r>
    </w:p>
    <w:p>
      <w:r>
        <w:rPr>
          <w:b/>
        </w:rPr>
        <w:t>E. 4</w:t>
      </w:r>
    </w:p>
    <w:p>
      <w:r>
        <w:t>März 1992 N 301 10. AHV-Revision (I.Teil) calcul apporte surtout des améliorations sensibles aux cou- ches intermédiaires de rentiers et cela peut représenter jusqu'à cent francs par mois pour des revenus moyens de 32 400 francs. D'autre part, il vous est suggéré de mettre en place, immédiatement aussi, une allocation pour impotents de degré moyen, et cela en faveur des bénéficiaires de rentes de vieillesse. Les incidences financières de la nouvelle formule des rentes sont de l'ordre de 410 millions de francs pour l'AVS et de 70 millions de francs pour l'Ai, alors que les allocations pour impotents nécessitent des suppléments de 118 millions de francs. Au total, la version proposée par la commission en- traîne des dépenses supplémentaires de 598 millions de francs. Pour la Caisse fédérale, le coût s'élève, compte tenu du fait que la part de l'AVS est de 17 pour cent et celle de l'Ai de 37,5 pour cent, à 116 millions de francs. Mais c'est justement à propos de la part fédérale que la com- mission estime aussi que deux clauses relatives au finance- ment pourraient être intégrées dans l'arrêté. Tout d'abord, il s'agit du relèvement de la contribution de la Confédération à l'AVS, qui passerait de 17 à 17,5 pour cent, et qui doit marquer la volonté de ne pas seulement décider des dépenses supplé- mentaires, mais d'y contribuer en ce qui concerne le finance- ment II serait d'ailleurs incompréhensible de voter des aug- mentations sans que la Confédération ne veuille y participer. Enfin, l'arrêté comporte la compétence accordée au Conseil fédéral de majorer l'impôt sur le tabac. La commission a estimé, comme cela a été relevé tout à l'heure, que les propositions de la minorité ne devraient pas être intégrées dans le présent arrêté. Il s'agit de l'amélioration des prestations relatives au calcul des rentes allouées aux per- sonnes divorcées et du versement séparé de la rente pour couples qui sont de nature à rendre plus difficile la réalisation rapide du présent arrêté et qui risquent de créer de nouveaux droits acquis, qui mettront en péril la solution du Splitting. Pour cette raison, il vous est demandé de ne pas entrer en matière sur ces aspects aujourd'hui. Certes, l'éventuelle solution du Splitting ne profitera qu'aux nouvelles générations de rentiers et de rentières. Il n'est en ef- fet pas possible d'appliquer un tel système rétroactivement, principalement parce que les données requises manqueraient et que les difficultés techniques risqueraient d'être insurmon- tables. Par conséquent, chaque année un seul nouveau groupe serait mis au bénéfice du Splitting, qui ne fonctionne- rait pleinement qu'au terme d'un certain nombre d'années. La tentation est donc grande défaire bénéficier les femmes divor- cées, dont les rentes sont en cours, d'améliorations immédia- tes de leur situation. La commission estime cependant que cet argument n'est pas suffisant, et qu'il est préférable d'introduire d'éventuelles mesures transitoires au profit de cette catégorie de rentières, au moment où l'on connaîtra les contours défini- tifs de la solution du Splitting. Quelques mots enfin concernant le calendrier, puisque cet ar- rêté permet de fixer, d'une manière très précise maintenant, le calendrier de la dixième révision. Au 1 er janvier 1993 donc, en- trée en vigueur de l'arrêté fédéral concernant les améliorations de prestations dans l'AVS et dans l'Ai, ainsi que leur finance- ment Cela suppose évidemment que le Conseil des Etats puisse se prononcer au cours de la session de juin, où devrait intervenir aussi le vote final. Au 1er janvier 1995, mais au plus tard le 1er janvier 1996, devrait entrer en vigueur la 10e révision de l'AVS, y compris, le cas échéant, le modèle du Splitting. L'astuce de l'arrêté fédéral, limité dans le temps, est donc aussi d'exercer en quelque sorte une pression sur notre rythme de travail. Toutefois cette réserve de temps recouvre aussi, outre les délibérations dans les Chambres et les délais référendaires, les adaptations importantes requises de l'appa- reil administratif de cette institution sociale. Au total, la commission vous invite à suivre le schéma pro- posé, c'est-à-dire d'entrer en matière sur le présent arrêté fé- déral limité dans le temps, et de vous en tenir aux articles qui vous sont soumis, sans créer des divergences avec le Conseil des Etats. C'est dans cette mesure que vous permettrez l'en- trée en vigueur rapide des mesures propres à soulager les si- tuations les plus difficiles, et que vous ne prétériterez pas une éventuelle solution du Splitting. Frau Haller: Die sozialdemokratische Fraktion befürwortet den befristeten Bundesbeschluss und stimmt für Eintreten. Die dringend nötigen Verbesserungen im Zusammenhang mit der Hilflosenentschädigung und die Anpassung der Renten- formel zugunsten der Rentner und Rentnerinnen mit niedrigen Erwerbseinkommen sind längst fällig. Die Anpassung der Rentenformel ist überdies ein Schritt in die richtige Richtung, den wir von allem Anfang an positiv beurteilt haben. Wenn wir solche Schritte unternehmen, heisst das auch, dass wir dem Bundesrat in seiner Haltung folgen, die 10. AHV-Revision nicht kostenneutral abzuwickeln. Wir haben von allem Anfang an positiv beurteilt, dass der Bundesrat die Illusion der Kostenneutralität nicht aufgenommen hat, und wir möchten Herrn Bundesrat Cotti dafür danken. Wir sind grundsätzlich der Ansicht, dass sich der Bundesbe- schluss auf diese unbestrittenen Teile beschränken soll. Wenn Frau Brunner Christiane einen Gegenantrag zur Minderheit Segmüller eingereicht hat, so deshalb, weil die Minderheitsan- träge Segmüller in eine falsche Richtung weisen. Frau Brunner wird dies im Zusammenhang mit ihrem Antrag aufzeigen. Es stellt sich nun aber doch die Frage, warum es im Ablauf die- ses Geschäftes zu einem Vorziehen im Rahmen eines befriste- ten Bundesbeschlusses gekommen ist Dieses Vorgehen ist ja bei einer so umfangreichen Vorlage eigentlich eher unüblich. Diese Frage muss geklärt werden. Die Klärung dieser Frage muss leider auch einige harte Worte absetzen, so ungern ich dies tue. Es wäre wünschbar und möglich gewesen, dieses Geschäft hier längst zu behandeln, und zwar das ganze Ge- schäft. Wir hätten - ich zitiere den Präsidenten der schweizeri- schen CVP, der kürzlich in einem Rundumschlag von gewis- sen Leuten behauptet hat, sie hätten ihre Hausaufgaben nicht gemacht - dieses Geschäft längst behandeln und verabschie- den können, wenn Herr Bundesrat Cotti seine Hausaufgaben gemacht hätte. Lassen Sie mich kurz zurückblenden: Schon anlässlich der</w:t>
      </w:r>
    </w:p>
    <w:p>
      <w:r>
        <w:rPr>
          <w:b/>
        </w:rPr>
        <w:t>E. 8</w:t>
      </w:r>
    </w:p>
    <w:p>
      <w:r>
        <w:t>AHV-Revision wurde versprochen, die 9. Revision mache Ernst mit der Gleichberechtigung der Frau. Bei der 9. Revision wurden die Frauen auf die 10. Revision vertröstet. 1987 ge- langten gleich drei Modelle für die 10. AHV-Revision an die Oeffentlichkeit, und zwar Modelle von rechts bis links. Die drei Modelle stimmten in einem Punkt überein: Die Formel, mit der sie die Gleichstellung der Geschlechter verwirklichen wollten, hiess: Splitting und Betreuungsgutschrift Ich wiederhole: Das alles passierte im Jahre 1987. Fünf Jahre lang hat sich der Bundesrat geweigert, diese Modelle über- haupt zur Kenntnis zu nehmen. Er beschränkte sich auf die Feststellung, die Zeit für solche Lösungen sei noch nicht reif. Die Hausaufgaben, die Herr Bundesrat Cotti fünf Jahre lang nicht gemacht hat, wurden in den letzten sechs Monaten durch die Kommission unseres Rates gemacht, und zwar durch einen Ausschuss dieser Kommission, wie dies der Kom- missionspräsident berichtet hat. Diese Arbeit war möglich dank tatkräftiger, ausgezeichneter und phantasievoller Unter- stützung durch die Verwaltung. Diese Fachleute hätten dem Departementsvorsteher in den letzten fünf Jahren genau gleich zur Verfügung gestanden, wenn er sich nicht geweigert hätte, seine Hausaufgaben zu machen. Die politische Situation ist klar: Alle Frauenorganisationen von rechts bis links wollen den Systemwechsel in der AHVhin zum Splitting mit Betreuungsgutschrift. In den Parteien ist man sich weitgehend darüber einig, dass dieser Wechsel nicht zu unge- rechtfertigten Rentenverlusten führen soll. Inzwischen ist es auch klargeworden, dass es eine konkrete Lösung dafür gibt In einigen Tagen werden Sie diese Lösung auf dem Tisch ha- ben. Zurück zur Frage, warum wir denn heute eigentlich vor der Si- tuation stehen, einen befristeten Bundesbeschluss vorziehen zu müssen: Den breiten Kreisen, die den Systemwechsel jetzt in der 10. AHV-Revision realisieren wollen, ist vorgeworfen worden, sie verzögerten die längst fälligen Verbesserungen für die Rentenbezüger mit kleinen Einkommen. Da möchte ich in aller Klarheit festhalten, dass dieser Vorwurf an die Adresse von Herrn Bundesrat Cotti gerichtet werden muss. Erinnern Sie sich, wie oft Herr Hubacher hier vorne an diesem Pult nachgefragt hat, wann der Bundesrat endlich die</w:t>
      </w:r>
    </w:p>
    <w:p>
      <w:r>
        <w:t>10e révision de l'AVS (1ère partie) 302 4 mars 1992</w:t>
      </w:r>
    </w:p>
    <w:p>
      <w:r>
        <w:rPr>
          <w:b/>
        </w:rPr>
        <w:t>E. 10</w:t>
      </w:r>
    </w:p>
    <w:p>
      <w:r>
        <w:t>AHV-Revision (1.Teil) 10e révision de l'AVS (1ère partie)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03 Séance Seduta Geschäftsnummer 90.021 Numéro d'objet Numero dell'oggetto Datum 04.03.1992 - 08:00 Date Data Seite 296-320 Page Pagina Ref. No 20 020 985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