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20020708 vom 13. Dezember 1991</w:t>
      </w:r>
    </w:p>
    <w:p>
      <w:r>
        <w:t>Bundesverwaltung, 1991-12-13, DE</w:t>
      </w:r>
    </w:p>
    <w:p>
      <w:r>
        <w:rPr>
          <w:b/>
        </w:rPr>
        <w:t xml:space="preserve">Quelle: </w:t>
      </w:r>
      <w:r>
        <w:t>https://mcp.opencaselaw.ch/entscheid/ch_vb__td_class__metadataCell__20020708__td_</w:t>
      </w:r>
    </w:p>
    <w:p>
      <w:r>
        <w:t>FR: CH_VB 20020708 du 13 décembre 1991</w:t>
      </w:r>
    </w:p>
    <w:p>
      <w:r>
        <w:t>IT: CH_VB 20020708 del 13 dicembre 1991</w:t>
      </w:r>
    </w:p>
    <w:p>
      <w:pPr>
        <w:pStyle w:val="Heading2"/>
      </w:pPr>
      <w:r>
        <w:t>Erwägungen</w:t>
      </w:r>
    </w:p>
    <w:p>
      <w:r>
        <w:rPr>
          <w:b/>
        </w:rPr>
        <w:t>E. 13</w:t>
      </w:r>
    </w:p>
    <w:p>
      <w:r>
        <w:t>décembre 1991 nant l'activité des juges fédéraux comme arbitre, ou experts, que le Tribunal fédéral a adopté en séance plénière le 7 mai 1985. Au vu de ce qui précède, la commission a proposé au Conseil national de donner suite à l'initiative parlementaire. Le Conseil a adopté la proposition de la commission le 20 juin 1986, sans opposition (B01986 N 1031). 3. Le 18 septembre 1986, la commission a commencé l'exa- men de l'initiative parlementaire quant au fond (art 21quater clé la loi sur les rapports entre les conseils). Elle est partie du principe qu'il faut créer une base légale pour l'activité des ju- ges fédéraux comme arbitres ou experts, qui régisse cette acti- vité tout en laissant au Tribunal fédéral certaines compétences et une certaine latitude dans l'élaboration des dispositions en la matière. La commission a examiné deux moyens qui, à son avis, per- mettraient d'atteindre ce but: la révision de l'arrêté fédéral en vigueur, qui date de 1924, et la création d'une disposition gé- néraledans la loi fédérale d'organisation judiciaire. La commission a opté pour la seconde solution. 4. C'est pourquoi la commission a proposé - en accord avec l'auteur de l'initiative - de suspendre l'examen de l'initiative parlementaire jusqu'à ce que les Chambres aient traité la révi- sion de la loi fédérale d'organisation judiciaire. Le Conseil national a adopté cette proposition le 18 mars 1987, sans opposition (BO 1987 N 391 s. ). 5. Le 23 juin 1989, les Chambres fédérales ont approuvé la loi fédérale d'organisation judiciaire révisée. La teneur de l'article 3a adopté dans le cadre de la procédure d'élimination des divergences a la teneur suivante: Titre marginal Mandats d'arbitre et d'expert AI.1 Le tribunal peut autoriser ses juges à accepter des mandats d'expert et à exercer des fonctions arbitrales ainsi que d'autres activités accessoires, dans la mesure où l'exercice de leur fonction de juge, l'indépendance et le prestige du tribunal n'en sont pas entravés. Al. 2 Le tribunal détermine la compétence et les conditions aux- quelles est soumis cette autorisation dans un règlement 6. Le 1 er avril 1990, le peuple a rejeté ce projet Le 4 octobre 1991, les deux Chambres ont adopté une nouvelle révision de la. loi fédérale d'organisation judiciaire sans y inclure les dispo- sitions contestées. L'article 3a n'était pourtant pas contesté, il est maintenu sans modification. 7. Après consultation de l'auteur de l'initiative, la commission chargée d'examiner le projet de révision de la loi fédérale d'or- ganisation judiciaire (85.040/91.025) est d'avis que cette for- mulation répond dans une large mesure aux préoccupations exprimées par l'initiative parlementaire. Partant de l'idée que le Tribunal fédéral tient à jour la liste des arbitrages et des ex- pertises en cours, elle s'en remet aux Commissions de gestion pour en prendre connaissance quand elles l'estimeront judi- cieux Antrag der Kommission Die Initiative als erledigt abschreiben. Proposition de la commission Classer l'initiative. Angenommen-Adopté #ST# 90.568 Motion des Ständerates (Zimmerli) Revision des Bundesgesetzes über die Organisation der Bundesrechtspflege. EMRK-konforme Umschreibung der Ueberprüfungsbefugnis des Bundesgerichts Motion du Conseil des Etats (Zimmerli) Révision de la loi fédérale d'organisation judiciaire. Droit de cognition du Tribunal fédéral redéfini conformément aux dispositions de la Convention européenne des droits de l'homme Kategorie III, Art 68 GRN-Catégorie III, art. 68RCN Wortlaut der Motion vom 25. September 1990 In neusten Entscheiden über staatsrechtliche Beschwerden gegen Enteignungen, die sich auf kantonales Recht stützen - zum Beispiel BGE 115 la 67ff. E.2 - hat das Schweizerische Bundesgericht erkannt, die Bestimmungen des BG über die Organisation der Bundesrechtspflege erlaubten es ihm nicht, die Sachverhaltsfeststellungen im angefochtenen Hoheitsakt frei zu überprüfen, wie es Artikel 6 Ziffer 1 EMRK verlange. Es hat daraus gefolgert, die Kantone seie n verpflichtet, zu diesem Zweck verwaltungsunabhängige richterliche Vorinstanzen mit entsprechend umfassender Kognitiori einzusetzen. Diese Rechtsprechung ist staatspolitisch ausserordentlich problematisch und steht im Widerspruch zu der in den Kanto- nen weitverbreiteten Rechtstradition, wonach namentlich Pla- nungsentscheide und Hoheitsakte der Kantons- und Gemein- deparlamente und der Exekutivbehörden gerade nicht bei ver- waltungsunabhängigen Gerichten (ramentlich Verwaltungs- gerichten) angefochten werden können. Die Praxis des Bun- desgerichts zwänge die Kantone beispielsweise dazu, Nut- zungsplanungen, mit denen das Enteignungsrecht erteilt wird, oder etwa kantonale Strassenpläne mit Enteignungswir- kung der umfassenden Ueberprüfung durch ein kantonales Verwaltungsgericht zu unterstellen. Damit werden aber die Grenzen zwischen Justiz im Sinne wohlverstandener Rechts- kontrolle und Politik in unerträglicher Weise verwischt. Die meisten Kantone dürften sich deshalb ausserordentlich schwertun, eine angeblich durch Artikel 6 Ziffer 1 EMRK gefor- derte Justizreform im demokratischen Rechtsetzungsverfah- ren zu verabschieden. Leider wurde es seinerzeit beim Beitritt der Schweiz zur EMRK unterlassen, mit Bezug auf die hier interessierenden Rechtsfälle einen klar definierten Vorbehalt anzubringen. An- derseits muss heute alles getan werden, um bei der Bevölke- rung vermehrt um Verständnis für die Praxis zur EMRK zu werben. Weil die Beurteilung von bundesrechtlichen Enteignungen durch das Bundesgericht im verwaltungsrechtlichen Be- schwerdeverfahren keine Schwierigkeiten bereitet, erscheint es als gegeben, die Bestimmungen über das staatsrechtliche Beschwerdeverfahren möglichst rasch anzupassen. Der Bundesrat wird deshalb eingeladen, in die neue Vorlage zur Revision des BG über die Organisation der Bundesrechts- pflege eine Bestimmung aufzunehmen, wonach das Bundes- gericht bei der Beurteilung staatsrechtlicher Beschwerden ge- gen kantonale Hoheitsakte betreffend «zivilrechtliche Ansprü- che und Verpflichtungen» im Sinne von Artikel 6 Ziffer 1 EMRK gehalten ist, als «Gericht» im Sinne dieser Konventionsbestim- mungen Sachverhalts- und Rechtsfragen in dem von der EMRK geforderten Umfang frei zu prüfen, soweit das kanto- nale Recht diese Aufgabe nicht einer verwaltungsunabhängi- gen richterlichen Instanz im Kanton überträgt.</w:t>
      </w:r>
    </w:p>
    <w:p>
      <w:r>
        <w:t>Schweizerisches Bundesarchiv, Digitale Amtsdruckschriften Archives fédérales suisses, Publications officielles numérisées Archivio federale svizzero, Pubblicazioni ufficiali digitali Parlamentarische Initiative (Ruffy) Schiedsrichterliche Tätigkeit der Bundesrichter Initiative parlementaire (Ruffy) Fonctions arbitrales des juges fédéraux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85.237 Numéro d'objet Numero dell'oggetto Datum 13.12.1991 - 08:00 Date Data Seite 2453-2454 Page Pagina Ref. No</w:t>
      </w:r>
    </w:p>
    <w:p>
      <w:r>
        <w:rPr>
          <w:b/>
        </w:rPr>
        <w:t>E. 20</w:t>
      </w:r>
    </w:p>
    <w:p>
      <w:r>
        <w:t>020 708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