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20019692 vom 18. März 1991</w:t>
      </w:r>
    </w:p>
    <w:p>
      <w:r>
        <w:t>Bundesverwaltung, 1991-03-18, DE</w:t>
      </w:r>
    </w:p>
    <w:p>
      <w:r>
        <w:rPr>
          <w:b/>
        </w:rPr>
        <w:t xml:space="preserve">Quelle: </w:t>
      </w:r>
      <w:r>
        <w:t>https://mcp.opencaselaw.ch/entscheid/ch_vb__td_class__metadataCell__20019692__td_</w:t>
      </w:r>
    </w:p>
    <w:p>
      <w:r>
        <w:t>FR: CH_VB 20019692 du 18 mars 1991</w:t>
      </w:r>
    </w:p>
    <w:p>
      <w:r>
        <w:t>IT: CH_VB 20019692 del 18 marzo 1991</w:t>
      </w:r>
    </w:p>
    <w:p>
      <w:pPr>
        <w:pStyle w:val="Heading2"/>
      </w:pPr>
      <w:r>
        <w:t>Erwägungen</w:t>
      </w:r>
    </w:p>
    <w:p>
      <w:r>
        <w:rPr>
          <w:b/>
        </w:rPr>
        <w:t>E. 18</w:t>
      </w:r>
    </w:p>
    <w:p>
      <w:r>
        <w:t>mars 1991 été déclarées aptes à servir avec l'obligation d'accomplir plus de jours de service militaire que si elles avaient gardé leur an- cien statut. Tous ces militaires ont-ils eu la possibilité de deman- der un nouvel examen en CVS (commission de visite sanitaire) et, si ce n 'est pas le cas, le Conseil fédéral ne juge-t-il pas judi- cieux que cette possibilité soit offerte à tous? Réponse écrite du Conseil fédéral Sur les 90 000 militaires du service complémentaire, 60 000 étaient incorporés dans des unités ou des états-majors. Ce sont ceux-ci qui ont été déclarés aptes au service en date du 1er janvier 1991 sur la base de la révision partielle de l'organi- sation militaire. Seuls ces militaires-là sont concernés par la question de M. Aguet. Les militaires en question exercent les mêmes fonctions que jusqu'ici (par exemple, aides de cuisine, ordonnances de bu- reau, dessinateurs, chauffeurs, etc.) et n'auront pas à satis- faire à des exigences accrues après leur nouvelle incorpora- tion. Il en résulte qu'un examen médico-militaire ne s'imposait pas. Comme tous les militaires, ils ont la possibilité de demander en tout temps une appréciation de leur aptitude au service. Les décisions de cette nature sont sujettes à recours. Les militaires du service complémentaire ont reçu une circu- laire de l'Office fédéral des affaires sanitaires lors de leur incor- poration au titre de militaire apte au service, dans laquelle ils ont été informés de leurs droits en matière de recours et de ré- vision. L'examen des recours déposés contre la déclaration d'apti- tude au service suit son cours normal. Frage 82: Büttiker. Neuregelung für Instruktionskorps unbefriedi- gend Corps des instructeurs. Nouveau statut peu satisfaisant Per 1. Januar 1991 sind eine neue Verordnung über das Instruk- torenkorps und eine neue Instruktoren-Verordnung des EMD in Kraft getreten. Leider bringen diese Erlasse nicht die erhofften Verbesserungen für das Instruktionskorps. Wie will der Bundesrat das Instruktorenproblem qualitativ und quantitativ endlich lösen, wenn die neuen Regelungen auch weiterhin das Ansehen, die Behandlung, die Besoldung und die Entschädigungen der Instruktoren überhaupt nicht verbes- sern? Schriftliche Antwort des Bundesrates Der Bundesrat behauptet nicht, mit der neuen Verordnung über das Instruktionskorps das Instruktorenproblem schlecht- hin gelöst zu haben. Im Rahmen des überhaupt Machbaren und politisch Möglichen ist aber eine wichtige Etappe zurück- gelegt worden. Entgegen den Befürchtungen von Herrn Natio- nalrat Büttiker schafft die neue Verordnung sehr wohl Voraus- setzungen für die Besserstellung der Instruktoren. Namentlich wurden - als Kernpunkt der Verordnung die Grundlagen für eine moderne Personalführung geschaffen, -Anträge der Arbeitsgruppe Instruktorenberuf (Nationalrat Hess) realisiert, - die gewandelten Wertvorstellungen, vor allem im Verhältnis des Instruktors zu seiner Familie, berücksichtigt, - zivilstandsunabhängige Regelungen getroffen, - das Dienstrecht vereinheitlicht und eine gradunabhängige Pensionierungsregelung eingeführt und nicht zuletzt - der administrative Bereich und das Vergütungswesen ver- einfacht. Die neue Verordnung verursacht 5,3 Millionen Franken Mehr- kosten pro Jahr. Das entspricht 2,5 Lohnprozenten oder durchschnittlich 3000 Franken steuerfreie Mehreinnahmen aus Vergütungen für jeden Instruktor. Zusammen mit den Anstrengungen zur Verbesserung des Aus- und Weiterbildungsangebots für Instruktoren erwartet der Bundesrat deshalb von der neuen Verordnung wichtige positive Impulse. #ST# 88.039 Bund und Kantone. Aufgabenteilung. Zweites Paket Confédération et cantons. Répartition des tâches. Second train de mesures Differenzen - Divergences Siehe Jahrgang 1990, Seite 1798 - Voir année 1991, page 1798 Beschluss des Ständerates vom 4. März 1991 Décision du Conseil des Etats du 4 mars 1991 Kategorie IV, Art. 68 GRN - Catégorie IV, art. 68 RCN 4. Bundesgesetz über die Invalidenversicherung (IVG) (3. IV-Revision) 4. Loi fédérale sur ('assurance-invalidité (LAI) (3e révision de l'Ai) Art. 54 Abs. 3 Antrag der Kommission Festhalten Art. 54 al. 3 Proposition de la commission Maintenir M. Matthey, rapporteur: La révision de l'assurance-invalidité fait donc partie de ce deuxième paquet de la répartition des tâ- ches entre la Confédération et les cantons. Il reste trois diver- gences entre le Conseil des Etats et notre conseil aux articles 54 et 64. En ce qui concerne l'article 54, la commission de votre conseil, à l'unanimité, vous propose de maintenir la décision du Conseil national, à savoir de biffer l'article 54, alinéa 3, qui a été inscrit par le Conseil des Etats, et cela pour les raisons sui- vantes: la commission du Conseil national, suivie par la suite par votre conseil, a craint que l'indépendance de l'Office Al ne soit mis en cause précisément par l'adjonction de l'alinéa 3 de cet article 54. Lors des débats au Conseil des Etats, il s'est avéré que ce conseil souhaitait, surtout pour les petits cantons, qu'il puisse y avoir dans la même personne qui dirige l'Office Al et la Caisse cantonale de compensation, une «Personalunion» comme on appelle cela en allemand. La commission du Conseil national peut donner l'assurance au Conseil des Etats que, dans l'esprit de nos interventions, nous pouvons admettre que pour les petits cantons il y ait cette «Personalunion», encore que notre commission préfère qu'il y ait une collaboration entre les petits cantons plutôt qu'une fusion dans la même personne de la direction d'un of- fice Al et de la Caisse cantonale de compensation. En revanche, et nous voulons reprendre ici le contenu du rap- port du Conseil fédéral, l'Office Al doit rester indépendant, mais cette autonomie doit être précisée. Nous aimerions en particulier que le chef du département nous confirme que l'in- dépendance de l'Office Al est maintenue, qu'il n'y a pas subor- dination de l'Office Al à la Caisse cantonale de compensation, même si le ou la responsable de ces deux offices est une seule et même personne. C'est à ces conditions que la commission du Conseil national vous invite à maintenir notre position. En effet, il ne faut pas ou- blier qu'on demande des compétences différentes à ceux qui participent à la gestion de la Caisse cantonale de compensa- tion et à ceux qui gèrent un office cantonal Al. En résumé, nous sommes d'accord avec la «Personalunion» demandée par le Conseil des Etats pour les petits cantons, mais nous exigeons qu'il n'y ait pas subordination de l'Office Al à la Caisse canto- nale de compensation.</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11 Séance Seduta Geschäftsnummer --- Numéro d'objet Numero dell'oggetto Datum 18.03.1991 - 14:30 Date Data Seite 533-546 Page Pagina Ref. No</w:t>
      </w:r>
    </w:p>
    <w:p>
      <w:r>
        <w:rPr>
          <w:b/>
        </w:rPr>
        <w:t>E. 20</w:t>
      </w:r>
    </w:p>
    <w:p>
      <w:r>
        <w:t>019 692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