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20019686 vom 13. März 1991</w:t>
      </w:r>
    </w:p>
    <w:p>
      <w:r>
        <w:t>Bundesverwaltung, 1991-03-13, DE</w:t>
      </w:r>
    </w:p>
    <w:p>
      <w:r>
        <w:rPr>
          <w:b/>
        </w:rPr>
        <w:t xml:space="preserve">Quelle: </w:t>
      </w:r>
      <w:r>
        <w:t>https://mcp.opencaselaw.ch/entscheid/ch_vb__td_class__metadataCell__20019686__td_</w:t>
      </w:r>
    </w:p>
    <w:p>
      <w:r>
        <w:t>FR: CH_VB 20019686 du 13 mars 1991</w:t>
      </w:r>
    </w:p>
    <w:p>
      <w:r>
        <w:t>IT: CH_VB 20019686 del 13 marzo 1991</w:t>
      </w:r>
    </w:p>
    <w:p>
      <w:pPr>
        <w:pStyle w:val="Heading2"/>
      </w:pPr>
      <w:r>
        <w:t>Erwägungen</w:t>
      </w:r>
    </w:p>
    <w:p>
      <w:r>
        <w:rPr>
          <w:b/>
        </w:rPr>
        <w:t>E. 13</w:t>
      </w:r>
    </w:p>
    <w:p>
      <w:r>
        <w:t>mars 1991 denken auch von der Urner Regierung gehört. Die Kommis- sion aber geht von der Auffassung aus, dass man in diesem Projektierungsspielraum Flüelen bis Nordportal die entspre- chenden Abklärungen und Ergebnisse abwarten muss. Es scheint uns selbstverständlich zu sein, dass die entsprechen- den Massnahmen, wenn sich Probleme bezüglich Geologie, Umweltverträglichkeitsprüfung - auch bezüglich Lärm - und Grundwasserhaushalt ergeben, zu treffen sind, auch wenn Mehrkosten in Kauf zu nehmen sind.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