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20018394 vom 21. März 1990</w:t>
      </w:r>
    </w:p>
    <w:p>
      <w:r>
        <w:t>Bundesverwaltung, 1990-03-21, DE</w:t>
      </w:r>
    </w:p>
    <w:p>
      <w:r>
        <w:rPr>
          <w:b/>
        </w:rPr>
        <w:t xml:space="preserve">Quelle: </w:t>
      </w:r>
      <w:r>
        <w:t>https://mcp.opencaselaw.ch/entscheid/ch_vb__td_class__metadataCell__20018394__td_</w:t>
      </w:r>
    </w:p>
    <w:p>
      <w:r>
        <w:t>FR: CH_VB 20018394 du 21 mars 1990</w:t>
      </w:r>
    </w:p>
    <w:p>
      <w:r>
        <w:t>IT: CH_VB 20018394 del 21 marzo 1990</w:t>
      </w:r>
    </w:p>
    <w:p>
      <w:pPr>
        <w:pStyle w:val="Heading2"/>
      </w:pPr>
      <w:r>
        <w:t>Erwägungen</w:t>
      </w:r>
    </w:p>
    <w:p>
      <w:r>
        <w:rPr>
          <w:b/>
        </w:rPr>
        <w:t>E. 21</w:t>
      </w:r>
    </w:p>
    <w:p>
      <w:r>
        <w:t>mars 1990 Art. 40f (neu) und Ziff. Il Antrag der Kommission Zustimmung zum Entwurf des Bundesrates Art. 40f (nouveau) et eh. II Proposition de la commission Adhérer au projet du Conseil fédéral Angenommen -Adopté Gesamtabstimmung - Vote sur l'ensemble Für Annahme des Gesetzentwurfes 81 Stimmen Dagegen 17 Stimmen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87.036 Rettung unserer Gewässer. Volksinitiative und Gewässerschutzgesetz. Revision Sauvegarde de nos eaux. Initiative populaire et loi sur la protection des eaux. Révision Siehe Jahrgang 1989, Seite 1804 - Voir année 1989, page 1804 Beschluss des Ständerates vom 5. Dezember 1989 Décision du Conseil des Etats du 5 décembre 1989 Differenzen - Divergences Ordnungsantrag Seiler Hanspeter Die Differenzen sind: 1. noch im Laufe dieser Session zu behandeln; 2. falls nötig, wird die Sitzung vom 22. März 1990 verlängert. Ordnungsantrag Columberg Die Differenzen sind noch am gleichen Abend, 21. März 1990, zu behandeln. Motion d'ordre Seiler Hanspeter Traiter les divergences: 1. encore durant la session; 2. en prolongeant, au besoin, la séance du jeudi 22 mars 1990. Motion d'ordre Columberg Traiter les divergences encore le soir même, 21 mars 1990. Rüttimann, Berichterstatter: Wie Ihnen bekannt ist bzw. noch in Erinnerung sein dürfte, hat der Ständerat die Vorlage der Gewässerschutzgesetzrevision in der Herbstsession 1988 be- raten und verabschiedet. Sie hinterliess erhebliche Differen- zen zum Entwurf des Bundesrates. Unser Rat behandelte die Materie in der Sommersession 1989 und schuf zusätzliche Dif- ferenzen zum Ständerat. Dieser wiederum nahm in der Winter- session 1989 den ersten Anlauf zur Differenzbereinigung, wobei er von den insgesamt 28 Differenzen 9 durch Zustim- mung zum Nationalrat eliminierte; es bestehen also immer noch 19 Differenzen. Unsere Kommission ging an zwei Sitzungstagen wieder über die Bücher und beantragt Ihnen bei 8 Differenzen Zustim- mung zum Ständerat. Zusätzlich schlägt sie bei 4 Differenzen im Sinne einer konstruktiven Konfliktlösung einen neuen Text vor. 7 Minderheitsanträge, die Sie auf der Fahne vorfin- den, wurden zu den Beschlüssen unserer Kommission einge- reicht. Und schliesslich haben Sie bis jetzt 10 Einzelanträge auf Ihrem Pult vorgefunden. Sie sehen also, dass noch rela- tiv viel Konfliktstoff vorhanden ist, insbesondere wenn man berücksichtigt, dass es vier Schwerpunktthemen bei der bis- herigen Beratung der Gewässerschutzgesetzrevision gibt, die bis anhin nicht auf einen gemeinsamen Nenner gebracht werden konnten. Es sind dies der qualitative Gewässer- schutz in der Landwirtschaft (Art. 14-16), der Schutz der natürlichen und naturnahen Gewässer (Art. 28a und 28b), die Sicherung angemessener Restwassermengen (Art. 29 bis 36) und schliesslich die Problematik der Abgeltungen für den Verzicht auf Wasserkraftnutzungen (Art. 75 Ziff. 6, Aende- rung des Wasserrechtsgesetzes). Wir werden bei der Behand- lung der einzelnen Differenzen, zu denen Sie in der Zwischen- zeit noch verschiedene Zuschriften erhalten haben, darauf zu sprechen kommen. Man hat mir gemeldet, dass die Fraktionssprecher kurze Erklärungen zu den Behandlungen in ihren Fraktionen ab- geben möchten. Es wäre der Behandlung wohl dienlich, wenn Sie dem zustimmen würden, damit die Fraktionsspre- cher bereits jetzt die Stellungnahmen ihrer Fraktionen zu den Schwerpunktthemen bekanntgeben können. Ich würde nachher bei Artikel 14 - das ist die erste Differenz - wieder das Wort ergreifen. M. Rebeaud, rapporteur: Le fossé reste profond entre le Conseil des Etats et la commission de votre conseil sur les points essentiels de cette révision de loi sur la protection des eaux. Jene répéterai pas les chiffres que vous a indiqués tout à l'heure le président de la commission. Il faut simplement sa- voir que, sur trois sujets de controverse importants, votre com- mission vous propose de maintenir les positions antérieures du Conseil national contre l'avis du Conseil des Etats. Ce sont: l'article 14, à savoir la réglementation concernant le rapport entre la surface agricole et le nombre de têtes de bétail con- senti aux agriculteurs; l'article 32, à savoir la question centrale des débits minimums; enfin l'article 75 qui concerne la possi- bilité pour la Confédération de percevoir une taxe sur la pro- duction d'électricité pour financer une compensation aux régions qui auraient à subir un préjudice économique du fait des débits minimaux. Cet article est maintenu par votre com- mission contre l'avis du Conseil des Etats qui aurait voulu le supprimer. Sur ces trois points nous risquons d'avoir des débats impor- tants, outre ceux concernant l'article 28 à propos duquel votre commission s'est ralliée d'extrême justesse à la proposition du Conseil des Etats qui a voulu le supprimer. Cet article re- prend en partie les revendications de l'initiative pour la protec- tion des eaux. Cela nous mène à estimer que les débats dureront plus long- temps que les deux heures et dix minutes que nous laisse le programme. Puisque nous allons avoir un bref débat d'entrée en matière partielle sur ces divergences, je souhaiterais que nous décidions, soit tout de suite, soit après le débat d'entrée en matière, d'une question de principe et d'organisation, à sa- voir si nous allons ce soir jusqu'à la fin de l'élimination des di- vergences, ou plutôt jusqu'à la fin de la loi car je ne crois pas qu'on éliminera toutes les divergences aujourd'hui, ou bien si nous décidons d'interrompre de toute façon à 19 heures ce soir, auquel cas nous devrons prévoir la suite des débats de- main après-midi. C'est important pour le Conseil fédéral mais aussi pour ceux d'entre nous qui ont pris des engagements après 19 heures ce soir et qui doivent savoir s'ils devront y re- noncer ou s'ils peuvent les confirmer. Je remercierai notre</w:t>
      </w:r>
    </w:p>
    <w:p>
      <w:r>
        <w:t>Schweizerisches Bundesarchiv, Digitale Amtsdruckschriften Archives fédérales suisses, Publications officielles numérisées Archivio federale svizzero, Pubblicazioni ufficiali digitali Konsumenteninformation und Vertragsrecht. Bundesgesetze Information des consommateurs et droit contractuel. Lois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13 Séance Seduta Geschäftsnummer 86.030 Numéro d'objet Numero dell'oggetto Datum 21.03.1990 - 15:00 Date Data Seite 565-576 Page Pagina Ref. No 20 018 394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