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20018043 vom 4. Dezember 1989</w:t>
      </w:r>
    </w:p>
    <w:p>
      <w:r>
        <w:t>Bundesverwaltung, 1989-12-04, DE</w:t>
      </w:r>
    </w:p>
    <w:p>
      <w:r>
        <w:rPr>
          <w:b/>
        </w:rPr>
        <w:t xml:space="preserve">Quelle: </w:t>
      </w:r>
      <w:r>
        <w:t>https://mcp.opencaselaw.ch/entscheid/ch_vb__td_class__metadataCell__20018043__td_</w:t>
      </w:r>
    </w:p>
    <w:p>
      <w:r>
        <w:t>FR: CH_VB 20018043 du 4 décembre 1989</w:t>
      </w:r>
    </w:p>
    <w:p>
      <w:r>
        <w:t>IT: CH_VB 20018043 del 4 dicembre 1989</w:t>
      </w:r>
    </w:p>
    <w:p>
      <w:pPr>
        <w:pStyle w:val="Heading2"/>
      </w:pPr>
      <w:r>
        <w:t>Erwägungen</w:t>
      </w:r>
    </w:p>
    <w:p>
      <w:r>
        <w:rPr>
          <w:b/>
        </w:rPr>
        <w:t>E. 4</w:t>
      </w:r>
    </w:p>
    <w:p>
      <w:r>
        <w:t>Dezember 1989 N 1931 Fragestunde munes ou de cantons intéressés qui me signalaient les pro- blèmes relatifs à cette nouveauté juridique. J'ai constaté que les délais assignés à l'office étaient respectés. Auparavant ce rapport était rédigé trois ou quatre mois après la remise de l'étude d'impact, ce qui est correct. Il n'en reste pas moins qu' à moyenne échéance, les dossiers tendent à s'accumuler et je ne peux moi-même vous garantir que des re- tards seront exclus dans les années à venir. C'est la raison pour laquelle, au-delà des éléments concrets et pratiques liés à l'étude de l'impact, il est parfois encore difficile de dire quels doivent être exactement les contenus de ces étu- des. Il est navrant de constater que parfois, comme dans le cas que vous indiquez, l'office fédéral doive retourner à l'auteur l'étude réalisée afin d'avoir quelques éclaircissements. Il fau- dra préciser les mécanismes et que ceux chargés des études sachent, dès le début, quel doit être l'objet de l'analyse qu'ils s'apprêtent à faire. Mais, à part cela, j'en suis convaincu, une révision approfondie sur la base des premières expériences devra être réalisée, afin que cette étude d'impact devienne ef- fectivement l'instrument qu'elle doit être, un instrument qui fa- cilite la clarté de l'analyse et qui ne la renvoie pas aux calendes grecques. C'est notre objectif et déjà au début de l'année pro- chaine, nous ferons un examen approfondi des difficultés pra- tiques survenues après une année d'application. Frage 12: Hafner Rudolf. Kosten des Biotopschutzes Protection des biotopes. Coût In seiner Botschaft über die Volksinitiative «zum Schutz der Moore - Rothenthurm-lnitiative» und zur Revision der Bestim- mungen über den Biotopschutz im Bundesgesetz über den Na- tur- und Heimatschutz vom 11. September 1985 (85.051) schätzt der Bundesrat die Aufwendungen für den Schutz der Biotope von nationaler Bedeutung auf 120 Millionen in zehn Jahren. Davon dürften etwa zwei Drittel zulasten des Bundes gehen (s. S. 23 der deutschen Fassung; S. 24 und 25 der fran- zösischen Fassung). Die Gesetzesbestimmungen, die diese Aufgaben zum grössten Teil dem Bund zuweisen (Art. 18a N HG), sind seit dem 1. Februar 1988 in Kraft. Wurden seither die Mittel für den Biotopschutz tatsächlich auf- gestockt? Bundesrat Cotti: Ich möchte Herrn Hafner mitteilen, dass nach dem Inkrafttreten der neuen Gesetzesbestimmungen im- mer eine gewisse Zeit verstreicht, bis die finanziellen Konse- quenzen voll einsetzen. Der Bund muss die Objekte von natio- naler Bedeutung, wie wir gehört haben, zuerst erheben und bezeichnen. Die Kantone benötigen für die ihnen auch bei den Objekten von nationaler Bedeutung zufallenden Aufgaben häufig eine eigene Anschlussgesetzgebung.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