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20017753 vom 4. Oktober 1989</w:t>
      </w:r>
    </w:p>
    <w:p>
      <w:r>
        <w:t>Bundesverwaltung, 1989-10-04, DE</w:t>
      </w:r>
    </w:p>
    <w:p>
      <w:r>
        <w:rPr>
          <w:b/>
        </w:rPr>
        <w:t xml:space="preserve">Quelle: </w:t>
      </w:r>
      <w:r>
        <w:t>https://mcp.opencaselaw.ch/entscheid/ch_vb__td_class__metadataCell__20017753__td_</w:t>
      </w:r>
    </w:p>
    <w:p>
      <w:r>
        <w:t>FR: CH_VB 20017753 du 4 octobre 1989</w:t>
      </w:r>
    </w:p>
    <w:p>
      <w:r>
        <w:t>IT: CH_VB 20017753 del 4 ottobre 1989</w:t>
      </w:r>
    </w:p>
    <w:p>
      <w:pPr>
        <w:pStyle w:val="Heading2"/>
      </w:pPr>
      <w:r>
        <w:t>Erwägungen</w:t>
      </w:r>
    </w:p>
    <w:p>
      <w:r>
        <w:rPr>
          <w:b/>
        </w:rPr>
        <w:t>E. 4</w:t>
      </w:r>
    </w:p>
    <w:p>
      <w:r>
        <w:t>octobre 1989 Programmteil und Werbung via Redaktion muss verhindert werden. Das Redaktionsstatut ist wichtig zum Schutz der freien Meinungsbildung und der freien Redaktionstätigkeit der Journalisten. Die Medien werden in Zukunft aus finanziellen Gründen noch viel stärker von der Werbung abhängig sein. Damit sind Kon- flikte zwischen Redaktion und Werbeauftraggeber vorpro- grammiert. Das Redaktionsstatut ist eine Schutzverordnung für den Journalisten. Es befreit ihn vom Druck: «Wes Brot ich ess', des Lied ich sing'». Das Redaktionsstatut gibt ihm die in- nere Freiheit und schützt seine Persönlichkeitsrechte. . Wir bitten Sie, der Kommissionsminderheit zuzustimmen. Müller-Meilen: Ich bitte Sie, den Antrag der Minderheit Stap- pung zu Artikel 15 abzulehnen. In Absatz 1 verlangt die Min- derheit, dass der Veranstalter in einer Geschäftsordnung nicht nur die Aufgabenverteilung und die Verantwortlichkeiten fest- legt, wie dies auch die Mehrheit vorschlägt, sondern auch - ich zitiere - «die für die Programmgestaltung massgeblichen Ueberzeugungen». Dies ist eine mehr als unglückliche Formu- lierung, denn sie geht im Grunde gegen die Gewissensfreiheit, was Herr Stappung vermutlich gar nicht gewollt hat. Ueber- zeugungen kann kein Veranstalter festlegen. Die Redaktoren und Programmschaffenden haben sie, oder sie haben sie nicht. Ueberzeugungen sind persönliche Meinungen. Ein Ver- anstalter könnte höchstens Richtlinien für die Programmge- staltung festlegen. Wenn er Ueberzeugungen festlegen wollte, müsste er wohl über magische Kräfte verfügen, die nicht ein- mal die SRG besitzt. In Absatz 2 will die Minderheit allen Veranstaltern auferlegen, im Rahmen der Geschäftsordnung ein Redaktionsstatut mit abschliessend aufgezählten Grundsätzen zu erlassen. Ab- gesehen von geschäftlichen Mitteilungen und Werbung darf ohne Billigung der Redaktion nichts gesendet werden. Einzel- weisungen über die Ausführungen der redaktionellen Arbeit sind unzulässig. Herr Stappung hat schon mehrfach als Ver- treter der dem VPOD angehörenden Journalisten-Union ähn- liche Vorstösse, u. a. auch in einer parlamentarischen Initia- tive, ohne Erfolg gemacht. Er will hier etwas im Gesetz regeln, das in die Gesamtarbeitsverträge oder allenfalls in die Arbeits- verträge mit den Mitarbeitern gehört und dort zu einem guten Teil bereits geregelt ist. Die von der Minderheit vorgeschlagenen gesetzlichen Vor- schriften sind im übrigen viel zu eng und zu einseitig. Wollen Sie etwa in den nationalen Radio- und Fernsehinstitutionen schlicht und einfach verbieten, dass beispielsweise Generaldi- rektor Riva oder Herr Schellenberg etwas zu einer verunglück- ten Sendung sagen oder in einem aussergewöhnlichen Fall zu einer geplanten Sendung Stellung nehmen und eingreifen können? Aehnliches gilt auch für private Sender. Es kann Sen- dungen geben, die den Status eines Senders oder gar seine Existenz in Frage stellen, und dazu soll der Veranstalter nichts zu sagen haben? Auch wenn ich eine grosse Autonomie der Redaktionen - als Redaktor- kräftig befürworte, sind die Beziehungen zwischen Veranstalter bzw. Verleger und Redaktion doch zu vielfältig und zu subtil, um mit den zwei Sätzen im Minderheitsantrag umrissen zu werden. Aus all diesen Gründen empfehle ich Ihnen, den Antrag Stap- pung auch diesmal abzulehnen. Hier wird die Beratung dieses Geschäftes unterbrochen Le débat sur cet objet est interrompu #ST# 89.042 Bodenrecht im Siedlungsbereich. Sofortmassnahmen Droit foncier dans le secteur urbain. Mesures immédiates Siehe Seite 1533 hiervor - Voir page 1533 ci-devant Beschluss des Ständerates vom 4. Oktober 1989 Décision du Conseil des Etats du 4 octobre 1989 A. Bundesbeschluss über eine Sperrfrist für die Veräusse- rung nichtlandwirtschaftlicher Grundstücke Arrêté fédéral concernant un délai d'interdiction de re- vente des immeubles non agricoles Differenzen - Divergences Bühler, Berichterstatter: Der Ständerat hat heute morgen die beiden verbliebenen Differenzen behandelt und in einer recht ausgiebig benützten Debatte in beiden Fällen entgegen dem Antrag seiner Kommission beschlossen. Die Differenz im Bun- desbeschluss A Artikel 4 Absatz 1 Buchstabe cbis wurde auf- rechterhalten, und zwar mit dem kleinstmöglichen Stimmen- verhältnis von einer einzigen Stimme. Dafür ist der Ständerat beim Bundesbeschluss C, wo es um die Prozente ging, wel- che die institutionellen Anleger in Liegenschaften investieren dürfen, auf unseren Beschluss von 30 Prozent eingeschwenkt. So ist als einzige Differenz im Bundesbeschluss A Artikel 4 Ab- satz 1 Buchstabe cbis verblieben. Ihre Kommission hat heute mittag getagt. In der Kommission ist eine gewisse Enttäuschung darüber zum Ausdruck gekom- men, dass nach der Verwässerung, die Artikel 4 Absatz 1 Buchstabe c bereits durch die Einfügung der Worte «.... durch Dritte....» erfahren hat, dieser Bundesbeschluss mit Buch- stabe cbis noch weiter abgeschwächt wird. Es bleibt somit kaum mehr etwas übrig als die Verunmöglichung der Kaska- denverkäufe auf unÜberbauten Grundstücken. Aus diesem Grund hat die Kommission mit nur 9 zu 7 Stimmen Zustim- mung zum Ständerat beschlossen. Auf einen Minderheitsan- trag hat die Kommission aber verzichtet, weil wir der Meinung sind, man sollte nicht durch eine zu starre Haltung unserer- seits den Ständerat so weit provozieren, dass er die Bundes- beschlüsse nicht als dringlich erklärt. Aber auch zeitlich würden jetzt, gegen Ende der dritten Sessi- onswoche, kaum lösbare Schwierigkeiten auftreten. Im Sinne einer rasch wirkenden Lösung beantragt Ihnen daher die Kommission Zustimmung zum Ständerat. Für jene Damen und Herren, die aus der Fahne nicht klug geworden sind, möchte ich einfach noch darauf hinweisen, dass es sich nur um eine Ergänzung zur Fahne 89.042-3 handelt. Dort ist auf- geführt, dass es Zustimmung zum Ständerat bedeutet, wenn nichts steht. Ich bitte Sie, der Kommission und damit dem Ständerat zuzu- stimmen. M. Houmard, rapporteur: Vous vous souvenez que deux di- vergences ont été transmises au Conseil des Etats. Ce dernier est revenu sur une décision, en ce sens qu'il a accepté les 30 pour cent. En revanche, à l'article 4 c bis il a maintenu sa déci- sion. La commission s'est réunie cet après-midi et elle vous pro- pose de ne plus maintenir de divergence avec le Conseil des Etats. En effet, il s'agit d'arrêtés urgents, une décision doit être prise demain encore à la majorité absolue, ce qui représente 24 membres pour le Conseil des Etats et 101 pour le Conseil national. Si nous voulons prendre cette décision demain, nous pensons qu'il est préférable d'accepter cet article c bis alors même que le Conseil national était d'un autre avis et que l'ap- plicabilité de cet article 3 bis n'est pas absolument donnée.</w:t>
      </w:r>
    </w:p>
    <w:p>
      <w:r>
        <w:t>Schweizerisches Bundesarchiv, Digitale Amtsdruckschriften Archives fédérales suisses, Publications officielles numérisées Archivio federale svizzero, Pubblicazioni ufficiali digitali Radio und Fernsehen. Bundesgesetz Radio et télévision. Loi In Amtliches Bulletin der Bundesversammlung Dans Bulletin officiel de l'Assemblée fédérale In Bollettino ufficiale dell'Assemblea federale Jahr 1989 Année Anno Band IV Volume Volume Session Herbstsession Session Session d'automne Sessione Sessione autunnale Rat Nationalrat Conseil Conseil national Consiglio Consiglio nazionale Sitzung 13 Séance Seduta Geschäftsnummer 87.061 Numéro d'objet Numero dell'oggetto Datum 04.10.1989 - 15:00 Date Data Seite 1610-1616 Page Pagina Ref. No 20 017 753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