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20017445 vom 21. Juni 1989</w:t>
      </w:r>
    </w:p>
    <w:p>
      <w:r>
        <w:t>Bundesverwaltung, 1989-06-21, DE</w:t>
      </w:r>
    </w:p>
    <w:p>
      <w:r>
        <w:rPr>
          <w:b/>
        </w:rPr>
        <w:t xml:space="preserve">Quelle: </w:t>
      </w:r>
      <w:r>
        <w:t>https://mcp.opencaselaw.ch/entscheid/ch_vb__td_class__metadataCell__20017445__td_</w:t>
      </w:r>
    </w:p>
    <w:p>
      <w:r>
        <w:t>FR: CH_VB 20017445 du 21 juin 1989</w:t>
      </w:r>
    </w:p>
    <w:p>
      <w:r>
        <w:t>IT: CH_VB 20017445 del 21 giugno 1989</w:t>
      </w:r>
    </w:p>
    <w:p>
      <w:pPr>
        <w:pStyle w:val="Heading2"/>
      </w:pPr>
      <w:r>
        <w:t>Erwägungen</w:t>
      </w:r>
    </w:p>
    <w:p>
      <w:r>
        <w:rPr>
          <w:b/>
        </w:rPr>
        <w:t>E. 21</w:t>
      </w:r>
    </w:p>
    <w:p>
      <w:r>
        <w:t>juin 1989 Abstimmung - Vote Für den Antrag der Minderheit 53 Stimmen Für den Antrag der Mehrheit 114 Stimmen #ST# 88.800 Interpellation Hänggi Massnahmen gegen die Inflation der Bodenpreise Hausse des prix des terrains Wortlaut der Interpellation vom 7. Oktober 1988 Die Bodenpreise in unserem Lande steigen in einem nie dage- wesenen Aussmass. Das noch verfügbare Land wird daher für die meisten Bürger unerschwinglich. Dabei hat die Schweiz, im Vergleich zu den anderen Industrieländern, schon heute die geringste Eigentumsquote. Sie beträgt gerade noch 30 Prozent. Die neueste Entwicklung auf dem Bodenmarkt wird diesen Prozentsatz in Kürze massiv reduzieren, was zwangsläufig zu sozialpolitischen Veränderungen führen wird. Ich bitte deshalb den Bundesrat um Stellungnahme zu den fol- genden Fragen: 1. Welchen Stellenwert misst der Bundesrat heute der Eigen- tumsstreuung bei? 2. Welche Massnahmen drängen sich auf, um die Eigentums- förderung wirksam zu unterstützen? 3. Sind fiskalpolitische Eingriffe denkbar, um die BVG-Gelder vom Boden- und Liegenschaftsmarkt fernzuhalten? 4. Besteht nicht auch eine zusätzliche «Anheizung» durch die vorzeitige Rückzahlung von Bundesanleihen in der Höhe von etwa 1 Milliarde Franken? 5. Wo liegen die Stossrichtungen bei der Revision des Raum- planungsgesetzes, um der Verknappung des handelbaren Bodens Einhalt zu gebieten? Texte ofe l'interpellation du 7 octobre 1988 Les prix des terrains dans notre pays croissent à un rythme in- connu jusqu'ici. Le terrain encore disponible devient de ce fait inabordable pour la majorité des citoyens, ce qui explique qu'en comparaison avec les autres pays industrialisés, la Suisse compte aujourd'hui déjà la plus modeste proportion de propriétaires: cette dernière n'atteint que 30 pour cent à peine. L'évolution récente du marché foncier réduira massivement et à court terme ce pourcentage et entraînera nécessairement des mutations socio-politiques. Je prie dès lors le Conseil fédéral de répondre aux questions suivantes: 1. Quelle place accorde-t-il actuellement à la généralisation de l'accès à la propriété? 2. Quelles mesures d'accompagnement doit-on prendre pour promouvoir efficacement l'accès à la propriété? 3. Peut-on envisager des mesures fiscales en vue d'éloigner les capitaux de la LPP des marchés foncier et immobilier? 4. Le remboursement anticipé d'emprunts fédéraux pour un montant d'environ un milliard de francs ne risque-t-il pas de «jeter de l'huile sur le feu»? 5. Quelles sont les orientations dans la révision de la loi sur l'aménagement du territoire susceptibles de freiner la raréfac- tion des terrains négociables? Schriftliche Begründung - Développement par écrit Der Urheber verzichtet auf eine Begründung und wünscht eine schriftliche Antwort. Schriftliche Stellungnahme des Bundesrates vom 24. Mai 1989 Rapport écrit du Conseil fédéral du 24 mai 1989 1. Der Bundesrat misst einer breiten Eigentumsstreuung hohe Bedeutung zu, und dies vorab aus zwei Gründen: Zum einen vermag Grundeigentum das Bedürfnis des einzelnen Men- schen nach Individualsphäre und Sicherheit in zentralen Le- bensbereichen zu befriedigen. Kaum ein anderes materielles Gut vermittelt diese Lebensqualitäten so direkt wie Grundei- gentum. Zum ändern ist die Eigentumsstreuung von Bedeu- tung für den Bestand der heute geltenden Eigentumsordnung als solcher. Dem Nichteigentümer müssen reale Chancen ver- bleiben, selber Grundeigentum zu erwerben. Wo der Zugang zum Grundeigentum nur noch wenigen offen steht, ist die Ei- gentumsgarantie selbst in Gefahr. Der Bundesrat hat diesen Zusammenhang bereits 1981, in seiner Botschaft zu einem Bundesgesetz über den Erwerb von Grundstücken durch Per- sonen im Ausland, betont (BB11981 III585,644). Der Bundes- rat betrachtet die heutige Eigentumsquote von knapp 30 Pro- zent als Grenze, die längerfristig nicht unterschritten werden sollte. 2. Massnahmen der Eigentumsförderung stossen an zwei Grenzen: Angesichts der Unvermehrbarkeit des Bodens dür- fen sie nicht zusätzlich preistreibend wirken, und sie dürfen sich nicht gegen die Raumplanung werden. Der Eigentums- förderung muss es mit anderen Worten vor allem darum ge- hen, die Stellung der natürlichen Personen am Bodenmarkt zu stärken und insbesondere ihre Erwerbschancen zu heben. Im ländlich-bäuerlichen Bereich wird man diesem Ziel mit dem neuen Bundesgesetz über das bäuerliche Bodenrecht einen Schritt näher kommen. Für den städtischen Bereich ist zu- nächst an die Mittel des Wohnbau- und Eigentumsförderungs- gesetzes zu erinnern. Im weiteren hat der Bundesrat das Ju- stiz- und Polizeidepartement im August 1985 beauftragt, kon- krete Vorschläge zur Weiterentwicklung der privaten Eigen- tums- und Nutzungsrechte auszuarbeiten. Dabei ist vorgese- hen, auch eigentumsbildende Instrumente des Privatrechts näher zu prüfen, wie beispielsweise ein Vorkaufsrecht des Mie- ters, eine Weiterentwicklung des Modells «Locacasa», eine At- traktivitätssteigerung der Baurechtsdienstbarkeit, eine Förde- rung des genossenschaftlichen Eigentumerwerbs. Derartige Massnahmen des Privatrechts bewirken zwar keine wirtschaft- liche Eigentumsförderung; es darf aber erwartet werden, dass sie den Zugang zum Eigentum wenigstens in rechtlicher Hin- sicht erleichtern. 3. Der Interpellant geht von der Annahme aus, die Anlage der Gelder der beruflichen Vorsorge in Grundstücke sei eine we- sentliche Ursache für die Preisentwicklung auf dem Boden- und Liegenschaftsmarkt. Dieser Auffassung kann der Bundes- rat nicht zustimmen. Eine wissenschaftlich einwandfreie Verifi- kation der Behauptung, die Inflation der Bodenpreise ent- stünde infolge der Anlagepolitik der Vorsorgeeinrichtungen, liegt nicht vor. Vielmehr bestehen Indizien für die Annahme, dass die Preisentwicklung auf dem Boden- und Mietmarkt im wesentlichen nicht als Folge der Anlage der Gelder der berufli- chen Vorsorge, sondern mit der grösseren Nachfrage nach dem unvermehrbaren Wirtschaftsgut Boden bzw. den höhe- ren Baukosten zu erklären ist. Zurzeit beschäftigt sich eine For- schungsgruppe im Rahmen des Nationalfondsprojekts 22 (Nutzung des Bodens in der Schweiz) mit der wissenschaft- lichen Abklärung der Zusammenhänge zwischen der Anlage der Gelder der beruflichen Vorsorge auf dem Grundstücks- markt und der diesbezüglichen Preisentwicklung. Zudem hat das Eidgenössische Justiz- und Polizeidepartement eine inter- départementale Arbeitsgruppe eingesetzt, sie sich vor allem auch mit der Anlagetätigkeit der institutionellen Anleger auf dem Bodenmarkt beschäftigt und dem Bundesrat allenfalls entsprechende Vorschläge unterbreiten wird. Die Frage, ob und allenfalls welche fiskalpolitischen Eingriffe die BVG-Gelder vom Boden- und Liegenschaftsmarkt fernhal- ten, stellt sich deshalb zurzeit nicht. 4. Der Bund hat den Verfassungsauftrag, den Fehlbetrag der Bilanz abzubauen. Er darf sich nicht über seine Finanzierungs- bedürfnisse hinaus verschulden, um den Pensionskassen An- lagemöglichkeiten anzubieten. Die Nettorückzahlung von Schulden des Bundes belief sich im Jahre 1986 auf 692,1987 auf 545 und 1988 auf 1953 Millionen</w:t>
      </w:r>
    </w:p>
    <w:p>
      <w:r>
        <w:t>Schweizerisches Bundesarchiv, Digitale Amtsdruckschriften Archives fédérales suisses, Publications officielles numérisées Archivio federale svizzero, Pubblicazioni ufficiali digitali Parlamentarische Initiative (Kommission des Nationalrates) Sperrfrist zur Weiterveräusserung von nichtlandwirtschaftlichen Grundstücken Initiative parlementaire (Commission du Conseil national) Délai d'interdiction de revente des immeubles non agricoles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13 Séance Seduta Geschäftsnummer 89.221 Numéro d'objet Numero dell'oggetto Datum 21.06.1989 - 15:00 Date Data Seite 997-1004 Page Pagina Ref. No 20 017 445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