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20016930 vom 14. Dezember 1988</w:t>
      </w:r>
    </w:p>
    <w:p>
      <w:r>
        <w:t>Bundesverwaltung, 1988-12-14, DE</w:t>
      </w:r>
    </w:p>
    <w:p>
      <w:r>
        <w:rPr>
          <w:b/>
        </w:rPr>
        <w:t xml:space="preserve">Quelle: </w:t>
      </w:r>
      <w:r>
        <w:t>https://mcp.opencaselaw.ch/entscheid/ch_vb__td_class__metadataCell__20016930__td_</w:t>
      </w:r>
    </w:p>
    <w:p>
      <w:r>
        <w:t>FR: CH_VB 20016930 du 14 décembre 1988</w:t>
      </w:r>
    </w:p>
    <w:p>
      <w:r>
        <w:t>IT: CH_VB 20016930 del 14 dicembre 1988</w:t>
      </w:r>
    </w:p>
    <w:p>
      <w:pPr>
        <w:pStyle w:val="Heading2"/>
      </w:pPr>
      <w:r>
        <w:t>Erwägungen</w:t>
      </w:r>
    </w:p>
    <w:p>
      <w:r>
        <w:rPr>
          <w:b/>
        </w:rPr>
        <w:t>E. 14</w:t>
      </w:r>
    </w:p>
    <w:p>
      <w:r>
        <w:t>Dezember 1988 1815 Kleinbauern-Initiative zur Mündung vergiftet. Der Rhein wurde zu einer Kloake, die Fische starben. Für einige Zeit hielten die Schweiz und ein Teil Europas den Atem an. In der folgenden Dezembersession hagelte es eine Reihe von Vorstössen; vor allem waren es Fraktionsinterpellatio- nen der FDP, der CVF, der SVP, der LdU/EVP und Einzelvor- stösse der SP. In der Folge erhielten wir die Antworten des Bundesrates, welcher in Anerkennung der Bedeutung dieses Ereignisses die Umweltminister der Rhein-Anliegerstaaten einlud. Dieser Rat hat in der Folge Diskussion beschlossen: Diskussion über die Antworten des Bundesrates und darüber, was zukünftig vorgekehrt werden sollte. Leider fand diese Dis- kussion bis heute nicht statt; der Druck anderer Geschäfte war stärker, und das Thema wurde immer wieder verscho- ben. Nun fallen 11 der 13 Vorstösse mit der gegenwärtigen Session aus Abschied und Traktanden. Mit anderen Worten: diese Katastrophe, die seinerzeit ein Ausmass wie «Bophal», «Tschernobyl» oder «Seveso» angenommen hat, soll von diesem Rat nicht abschliessend behandelt werden! So etwas ist für diesen Rat unwürdig. Nicht nur die direkt Betroffenen in der Schweiz, auch die Vielzahl der Betroffe- nen im Ausland würden eine solche Oberflächlichkeit kaum verstehen. Mit dieser Bewältigung steht auch ein Stück Ansehen der Schweiz auf dem Spiel. Ich stelle Ihnen daher den Antrag, dieses Geschäft sei noch zu behandeln. Sie merken die Variante: Ich weiss, dass der Druck der Geschäfte dieser Session auch wieder grösser ist als die Möglichkeiten, die zu deren Erledigung zur Verfü- gung stehen. Ich möchte daher einen Entscheid herbeifüh- ren, dass die Diskussion auf jeden Fall noch stattfindet. Ich weiss, dass das nicht ganz genau dem Geschäftsreglement entspricht. Ich bin aber überzeugt, dass es bei nochmaligem Beschluss der Diskussion möglich ist, diese Diskussion in der Frühjahrssession durchzuführen; oder aber wir könnten die Sondersession um einen halben Tag oder einige Stun- den verlängern und diese Diskussion durchführen. Ich bitte Sie um Zustimmung zu diesem Antrag. Jeder andere Entscheid würde von der Bevölkerung nicht ver- standen. Präsident: Die Fraktionspräsidenten-Konferenz hat den Antrag von Herrn Weder-Basel diskutiert und ist mit 7 zu 1 Stimmen zum Ergebnis gekommen, Ihnen zu empfehlen, diesen Ordnungsantrag abzulehnen. Die Konferenz ruft in Erinnerung, dass wir seinerzeit vorder Entscheidung standen, am Donnerstag nachmittag entwe- der die Interpellationen über «Schweizerhalle» zu diskutie- ren oder die dringlichen Interpellationen und Vorstösse im Zusammenhang mit der Geldwäscherei. Auf Ihr Drängen hin hat die Konferenz sich dann entschlossen, das Thema der Geldwäscherei zu behandeln. Wir sehen keinen anderen Zeitraum mehr in dieser Session, um die Diskussionen über die Vorstösse «Schweizerhalle» zu führen. Abstimmung - Vote Für die Annahme des Ordnungsantrages Minderheit Dagegen offensichtliche Mehrheit #ST# 88.005 Kleinbauern-Initiative Initiative en faveur des petits paysans Fortsetzung - Suite Siehe Seite 1805 hiervor- Voir page 1805 ci-devant M. Savary-Fribourg: Le groupe démocrate-chrétien pro- pose à l'unanimité le rejet de l'initiative dite des petits paysans. Etant en même temps président de l'Union suisse des paysans, je vais tenter de donner en quelques minutes mon opinion au sujet des lignes de force de la politique agricole future et ceci en relation avec l'initiative. L'agriculture doit relever sans cesse de nouveaux défis. Ceci est valable tant pour l'agriculteur sur son exploitation que pour le législateur. Je mentionnerai les points sensibles suivants auxquels il nous faut prêter une attention toute particulière: la relation agriculture-environnement, la struc- ture de nos exploitations agricoles, les marchés et les reve- nus agricoles, sans oublier, bien sûr, les conditions régis- sant le commerce extérieur. Il est illusoire de croire et de prétendre que l'initiative dite des petits paysans puisse apporter des solutions valables aux problèmes soulevés, bien au contraire, elle en créerait de nouveaux. L'environnement: l'initiative ne pourrait avoir une incidence sur l'environnement que dans la mesure où elle vise à adapter les cheptels à la surface. La méthode proposée pourrait, cependant, amener le paysan à intensifier sa pro- pre production fourragère. La relation agriculture-écologie doit être considérée dans son ensemble et tenir compte également des évolutions futures des techniques. L'agricul- ture doit utiliser des techniques de production respectant au mieux l'environnement. Elle doit mettre en pratique la pro- duction intégrée tel que le préconise nos stations de recherches fédérales et nos services de vulgarisation. L'agri- culture doit mettre sur le marché des produits d'une qualité irréprochable. Toutes ces démarches sont en cours. L'agri- culture est sur le chemin de la production intégrée. De plus, avec la révision de la loi sur la protection des eaux, des solutions satisfaisantes sont proposées afin de régler les problèmes de la charge en engrais de ferme. Nous considérons qu'il est logique qu'à côté de l'agriculture et de la forêt, il y ait de la place pour des zones de compen- sation telles que les biotopes, les haies, et là aussi l'agricul- ture, en concertation avec les milieux intéressés, esten train dé faire un effort considérable. Notre approche est bien plus complète et nuancée et aussi plus efficace, en fin de compte, que l'initiative. Les structures: l'initiative vise le maintien quasi total du nombre d'exploitations agricoles. Les mesures proposées auraient pour conséquence de créer deux catégories d'ex- ploitation: les paysannes et les non paysannes, c'est-à-dire celles qui ne remplissent pas les conditions prévues par l'initiative à l'article 31 octies, lettres a et b. Cela poserait d'énormes problèmes d'application, tout d'abord, dans la classification des exploitations. Ce genre de catégorisation déboucherait inévitablement sur un système de double marché: d'une part, un marché qui concernerait unique- ment les exploitations paysannes bénéficiant d'une prise en charge obligatoire et, d'autre part, un marché libre pour toutes les exploitations qui échapperaient au critère imposé. Mais comment distinguer et identifier les produits agricoles provenant des deux genres d'exploitation. Enfin, malgré ses intentions, l'initiative n'arrivera pas à maintenir toutes les exploitations. L'approche que nous devons faire doit être différente. Il n'est pas possible de décréter le maintien du nombre actuel d'exploitations. L'évolution des structures est provoquée</w:t>
      </w:r>
    </w:p>
    <w:p>
      <w:r>
        <w:t>Schweizerisches Bundesarchiv, Digitale Amtsdruckschriften Archives fédérales suisses, Publications officielles numérisées Archivio federale svizzero, Pubblicazioni ufficiali digitali Kleinbauern-Initiative Initiative en faveur des petits paysans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11 Séance Seduta Geschäftsnummer 88.005 Numéro d'objet Numero dell'oggetto Datum 14.12.1988 - 08:00 Date Data Seite 1805-1815 Page Pagina Ref. No 20 016 930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