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20015202 vom 18. März 1987</w:t>
      </w:r>
    </w:p>
    <w:p>
      <w:r>
        <w:t>Bundesverwaltung, 1987-03-18, DE</w:t>
      </w:r>
    </w:p>
    <w:p>
      <w:r>
        <w:rPr>
          <w:b/>
        </w:rPr>
        <w:t xml:space="preserve">Quelle: </w:t>
      </w:r>
      <w:r>
        <w:t>https://mcp.opencaselaw.ch/entscheid/ch_vb__td_class__metadataCell__20015202__td_</w:t>
      </w:r>
    </w:p>
    <w:p>
      <w:r>
        <w:t>FR: CH_VB 20015202 du 18 mars 1987</w:t>
      </w:r>
    </w:p>
    <w:p>
      <w:r>
        <w:t>IT: CH_VB 20015202 del 18 marzo 1987</w:t>
      </w:r>
    </w:p>
    <w:p>
      <w:pPr>
        <w:pStyle w:val="Heading2"/>
      </w:pPr>
      <w:r>
        <w:t>Erwägungen</w:t>
      </w:r>
    </w:p>
    <w:p>
      <w:r>
        <w:rPr>
          <w:b/>
        </w:rPr>
        <w:t>E. 18</w:t>
      </w:r>
    </w:p>
    <w:p>
      <w:r>
        <w:t>mars 1987 Auslegung bedarf oder Lücken aufweist und somit dem Gericht einen Ermessensspielraum belässt, die Anwendung des Gesetzes im Sinne der Verfassung vornehmen. Die Rechtsprechung des Bundesgerichts ist neben den Erlassen der gesetzgebenden Behörde eine wichtige Rechtsquelle. In diesem Bereich sorgt das Bundesgericht heute schon für die Uebereinstimmung mit der Verfassung. Bei einem klar und eindeutig abgefassten Gesetzestext ist das Bundesgericht an den Gesetzestext gebunden, auch wenn er seiner Auffassung nach der Bundesverfassung widerspricht. Das Bundesgericht hat lediglich die Möglich- keit, das Parlament auf die Verfassungswidrigkeit aufmerk- sam zu machen. Das ist auch gelegentlich geschehen, so zum Beispiel anlässlich des nicht publizierten Entscheids in Sachen Etoilauto SA aus dem Jahre 1971, worauf das Parla- ment eine Aenderung des Zollgesetzes vorgenommen hat. Dem Betroffenen hat die nachträgliche Gesetzesänderung allerdings nicht mehr genützt. Der Ausschluss nicht nur der abstrakten, sondern auch der konkreten Normenkontrolle dient der Rechtssicherheit. Mit der Annahme der Initiative Weber würden nicht nur das Bundesgericht, sondern auch die kantonalen Behörden ermächtigt, Bundesgesetze im konkreten Fall wegen angeb- lichen Verstosses gegen die Bundesverfassung nicht anzu- wenden. Das könnte zu sehr unterschiedlicher Praxis in den Kantonen führen, weil ja nicht alle Fälle an das Bundesge- richt weitergezogen werden können. Vor allem wäre die Rechtssicherheit gefährdet, wenn eine neue Verfassungsbe- stimmung einem früheren Gesetz zuwiderläuft. Die Frage, ob ein Gesetz die Verfassung verletze, ist oft nicht eindeutig zu beantworten. Auch beim Bundesgericht kann es darüber Meinungsverschiedenheiten geben. Der Text der Initiative Weber sieht keine Beschwerde wegen Missach- tung von Inhalt und Zweck einer Volksinitiative vor. Falls das Preisüberwachungsgesetz Anlass zur Einreichung des Vor- stosses von Frau Weber gewesen sein sollte, so muss fest- gestellt werden, dass auch bei Annahme der Initiative Weber das Bundesgericht keine Handhabe gehabt hätte, den Wil- len der Initianten der Volksinitiative betreffend Preisüberwa- chung auszulegen. Ein wichtiges Argument gegen den Ausbau der Verfas- sungsgerichtbarkeit im heutigen Zeitpunkt ist die chroni- sche Ueberlastung unseres Bundesgerichts. Wir haben ja heute morgen und gestern darüber gesprochen. Mit der Revision des OG versuchen wir, endlich eine dringend nötige Entlastung unseres obersten Gerichts herbeizufüh- ren. Es wäre unverständlich, wenn wir nun gleichzeitig eine wichtige und sicher arbeitsintensive neue Kompetenz dem Bundesgericht zuschieben würden. Mit der Aufhebung von Artikel 113 Absatz 3 würden wir die Schleusen öffnen für zahlreiche neue Verfahren und damit die Arbeitskapazität des Bundesgerichts massiv überfordern. Zurzeit ist auch eine parlamentarische Initiative zur Einfüh- rung des Gesetzesreferendums hängig. Mit der Einheitsin- itiative, wie sie im Entwurf zur Totalrevision vorgeschlagen wird, könnte durch eine Volks- oder Kantonsinitiative sowohl eine Aenderung der Verfassung als auch die Aende- rung eines Gesetzes beantragt werden. Damit würde das Bedürfnis nach Ausbau der Verfassungsgerichtsbarkeit wesentlich kleiner, weil jederzeit der Anstoss zur Aenderung von nichtverfassungskonformen Gesetzen vom Volk oder von den Kantonen ausgehen könnte. Der Ausbau der Verfas- sungsgerichtsbarkeit muss in diesem grösseren Zusammen- hang gesehen werden. Ein ungelöstes Problem hat die Kommission ganz beson- ders beschäftigt: es ist das Verhältnis zur Europäischen Menschenrechtskommission und zum Europäischen Gerichtshof in Strassburg. Seitdem wir die Europäische Menschenrechtskonvention ratifiziert haben, kann der Bür- ger in Strassburg die Verletzung verfassungsmässiger Grundrechte, wie sie auch die Europäische Menschen- rechtskonvention enthält, geltend machen. Die Richter in Strassburg dürfen nun das tun, was die Richter in Lausanne nicht tun dürfen, nämlich feststellen, dass ein schweizeri- sches Gesetz die Europäische Menschenrechtskonvention und unsere Bundesverfassung verletzt. Zwar können.in Strassburg Konventionsverletzungen nur festgestellt und nicht direkt korrigiert werden. Immerhin kann eine gerechte Entschädigung zugebilligt werden. Wir haben einem fremden Richter mehr Kompetenzen gegeben als unserem eigenen obersten Gericht. Darin liegt ein echtes Problem, das einer vertieften Prüfung bedarf. Mit dem Postulat der Kommission wird verlangt, dass der Bundesrat eben diese Prüfung vornimmt. Sie sollte noch vor der Totalrevision der Bundesverfassung durchgeführt wer- den. Je nach Ergebnis müssten nämlich noch vor dieser Totalrevision entsprechende Schritte vorgenommen wer- den. Die Kommission kam aus all diesen Gründen zu folgenden Schlussfolgerungen: Die parlamentarische Initiative von Frau Weber wirft ein echtes Problem auf. Es handelt sich aber nicht um ein dringendes Problem, das sofort gelöst werden müsste, weil sich keine schwerwiegenden Miss- stände aus dem geltenden Artikel 113 Absatz 3 ergeben haben. Der eventuelle Ausbau der Verfassungsgerichtsbar- keit muss in einem grösseren Zusammenhang gelöst wer- den. Die Totalrevision der Bundesverfassung ist der geeig- nete Rahmen dazu. Der Bundesrat sollte aber vorgängig der Totalrevision die Frage prüfen, ob insbesondere wegen den durch die Euro- päische Menschenrechtskonvention gegebenen Beschwer- derechten sich ein Ausbau der Verfassungsgerichtsbarkeit beim Bundesgericht im Zusammenhang mit einem konkre- ten Anwendungsfall rechtfertigt. Die Kommission stellt mit 15 gegen 1 Stimme folgende An- 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