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20014151 vom 10. März 1986</w:t>
      </w:r>
    </w:p>
    <w:p>
      <w:r>
        <w:t>Bundesverwaltung, 1986-03-10, DE</w:t>
      </w:r>
    </w:p>
    <w:p>
      <w:r>
        <w:rPr>
          <w:b/>
        </w:rPr>
        <w:t xml:space="preserve">Quelle: </w:t>
      </w:r>
      <w:r>
        <w:t>https://mcp.opencaselaw.ch/entscheid/ch_vb__td_class__metadataCell__20014151__td_</w:t>
      </w:r>
    </w:p>
    <w:p>
      <w:r>
        <w:t>FR: CH_VB 20014151 du 10 mars 1986</w:t>
      </w:r>
    </w:p>
    <w:p>
      <w:r>
        <w:t>IT: CH_VB 20014151 del 10 marzo 1986</w:t>
      </w:r>
    </w:p>
    <w:p>
      <w:pPr>
        <w:pStyle w:val="Heading2"/>
      </w:pPr>
      <w:r>
        <w:t>Erwägungen</w:t>
      </w:r>
    </w:p>
    <w:p>
      <w:r>
        <w:rPr>
          <w:b/>
        </w:rPr>
        <w:t>E. 10</w:t>
      </w:r>
    </w:p>
    <w:p>
      <w:r>
        <w:t>mars 1986 la Conférence européenne des ministres des transports et rencontré ensuite les ministres des transports d'Allemagne fédérale et d'Autriche. Le chef du Département des transports, des communica- tions et de l'énergie peut-il dire si le problème d'une nou- velle liaison ferroviaire à travers les alpes a été abordé à ces occasions et, le cas échéant, comment ses interlocuteurs voient-ils la chose? Bundesrat Schlumpt: Die Tagungen der Verkehrsminister sind seit vielen Jahren im Gange. Sie beziehen sich allge- mein auf die Frage der Bewältigung des Transitverkehrs, insbesondere des Eisenbahntransitverkehrs. Die letzte Ver- kehrsministerkonferenz fand am 1. Februar in Zürich statt. Da waren die Minister der Bundesrepublik, Oesterreichs und Italiens mit mir zusammen. Wir haben völlige Uebereinstim- mung in der Konzeption und im Vorgehen erzielen können. Wir gehen davon aus, dass die Transitkapazität auf der Strasse nicht mehr erhöht werden soll für den Güterverkehr im Nord-Süd-Transit, d. h. dass der kommende zusätzliche Güterverkehr, also die wachsenden Gütermengen, auf der Schiene bewältigt werden sollen. Wir haben auch in bezug auf das Vorgehen Uebereinstim- mung erzielt. Von den vier Verkehrsministern wurde ein Stellvertreterausschuss eingesetzt, der den Auftrag hat, in den Jahren 1986 und 1987 die Entscheidungsgrundlagen bereitzustellen für die Frage, wann und welche neuen Eisen- bahnalpentransversalen neben der Auslastung der beste- henden Kapazitäten nötig sein werden. Die Entscheidungs- grundlagen sollen in den nächsten beiden Jahren von die- sem Stellvertreterausschuss mit den Bahnverwaltungen und den öffentlichen Diensten erarbeitet werden, damit anschliessend die Regierungen dieser vier Staaten, auch im Zusammenwirken mit Frankreich (in der Schweiz durch das Parlament, mit Referendumsvorbehalt), Entscheide fällen können. #ST# 78.232 Parlamentarische Initiative Bundesverfassung. Presseförderung Initiative parlementaire Constitution fédérale. Mesures en faveur de la presse Fortsetzung - Suite Siehe Seite 105 hiervor - Voir page 105 ci-devant Bundesrätin Kopp: Schwangerschaften und Verfassungsar- tikel haben etwas gemeinsam. Wenn sie zu einem ungünsti- gen oder unerwünschten oder zu einem als unnötig empfun- denen Zeitpunkt kommen, stossen sie auf Ablehnung. Wäh- rend bei einer unerwünschten Schwangerschaft immerhin die Chance besteht, dass dann trotzdem noch ein geliebtes Kind daraus wird - so wenigstens argumentieren die Gegner der Fristenlösung -, verläuft die Situation bei einem Verfas- sungsartikel anders. Man tritt entweder nicht ein oder lehnt ihn ab, und dann ist die Verfassungsgrundlage nicht vorhan- den, wenn man liebend gern eine hätte oder froh um eine wäre. Die jüngere Diskussion um den Verfassungsartikel betref- fend Presseförderung reicht 17 Jahre zurück. Diese Lang- wierigkeit gibt mir Anlass zu folgenden Feststellungen: 1. Es zeigt sich, dass ein dauerndes Wechselspiel zwischen äusseren Umständen und den Rechtsetzungsarbeiten exi- stiert. Oft haben einzelne Ereignisse Impulse gegeben: eine bestimmte Zeitungsfusion oder die Entlassung eines bestimmten Redaktors. Lieber längere Zeit standen wirt- schaftliche Fragen im Vordergrund: zuerst die Pressekon- zentration, später die Folgen der Rezession, namentlich für kleinere Zeitungsunternehmen. Dann wieder prägten mehr Probleme wie die innere Pressefreiheit oder das Redaktions- geheimnis die Diskussion. Die Presseförderung und die Pressekonzentration sind in den vergangenen Monaten wie- der zum Hauptthema geworden. Wir wissen zwar nicht, ob die Schwierigkeiten des «Bündner Tagblattes» symptoma- tisch sind für andere Regionalzeitungen. Jedoch können wir uns die Verarmung der öffentlichen Diskussion und Mei- nungsbildung vorstellen, wenn die grosse Zahl regionaler Zweitzeitungen, eine nach der anderen, aus dem Markt ausscheiden würde. Eine andere Entwicklungsmöglichkeit wird uns gegenwärtig in Frankreich vordemonstriert, wo ein einziger Presseunternehmer heute schon mehr als einen Drittel der täglich erscheinenden Zeitungen beherrscht. Sie sehen daraus: Die pressepolitischen Hauptthemen blei- ben über die Jahre hinweg die gleichen. Die Tagesaktualität rückt einmal diesen, das andere Mal jenen Aspekt in den Vordergrund. Die Konstanten sind einerseits die Pressekon- zentration und damit im Zusammenhang die Presseförde- rung, soweit nämlich wirtschaftliche Schwachstellen die Tendenz zu Regionalmonopolen begünstigen, andererseits die zentrale Frage der Presse- und Informationsfreiheit und der faktischen Wahrnehmung dieser Grundrechte unter den Bedingungen der modernen arbeitsteiligen Presseproduk- tion. Die staatspolitische Tragweite dieser Probleme wird nie- mand verkennen. Es ist deshalb wichtig, dass diese Debatte endlich stattfindet. 2. Seit den ersten presserechtlichen Vorstössen hat sich das verfassungsrechtliche Umfeld verändert. Am 2. Dezember 1984 wurde der Radio- und Fernsehartikel angenommen. Ich möchte deshalb ganz kurz die Vorstellungen des Bun- desrates zum Medienverfassungsrecht in Erinnerung rufen. Ueberragendes Prinzip aller Medienrechtsetzung sind die Pressefreiheit, die Meinungsäusserungsfreiheit und die In- formationsfreiheit. Die Rechtsetzungskompetenzen des Bundes werden auf die Haupttypen der Medien zugeschnitten, ja, ich würde sagen, massgeschneidert. So ist der Filmartikel, Artikel 27ter der Bundesverfassung, seit je in erster Linie eine Grundlage für kulturpolitische Massnahmen. In zweiter Linie erlaubt er, ganz spezifische Wettbewerbsprobleme des Films zu regeln. Das Schwergewicht des Radio- und Fernsehartikels, Artikel 55bis der Bundesverfassung, liegt beim Leistungsauftrag an Radio und Fernsehen. Die Gesetzgebung hat dafür zu sor- gen, dass die Bedürfnisse nach Information, Kultur und Unterhaltung bestmöglich gestillt werden. Mit der Realisierung des Presseförderungsartikels soll das medienpolitische Drei-Säulen-Konzept nun vervollständigt werden. In diesem Zusammenhang steht die staatspolitische Bedeutung freier, vielfältiger und unabhängiger Meinungs- bildung im Vordergrund. 3. Es ist nun an der Zeit, dass in der Sache entschieden wird. Ich bin Herrn Nationalrat Oehler deshalb dankbar, dass er seinen Rückweisungsantrag zurückgezogen hat. An Entscheidungsgrundlagen liegen vor: zwei Expertenbe- richte, der Totalrevisionsentwurf, die entsprechenden Ver- nehmlassungsverfahren, zwei Berichte Ihrer vorberatenden Kommission und zwei Berichte des Bundesrates. Da kann man wohl nicht sagen, dass das Geschäft noch nicht reif sei. Ich teile auch die Auffassung Ihrer Kommission, wonach der Nichteintretensantrag von Herrn Nationalrat Graf abgelehnt werden solle. Ich komme darauf noch zurück. Bei der Bearbeitung der parlamentarischen Initiative liess sich der Bundesrat von folgenden grundsätzlichen Ueberle- gungen leiten: 1. Gelebte und praktizierte Meinungsvielfalt ist das allge- meine medienpolitische Ziel. Verordnen oder erzwingen lässt sich dieser erstrebte Idealzustand nicht. Der Presse- rechtsetzung sind klare Schranken gesetzt. Jede Steuerung der Meinungsbildung ist ihr verboten, und es ist zu beden- ken, dass auch wohlmeinende Regelungen langfristig wie Fesseln wirken können. Obwohl heute kaum mehr jemand</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06 Séance Seduta Geschäftsnummer --- Numéro d'objet Numero dell'oggetto Datum 10.03.1986 - 14:30 Date Data Seite 125-132 Page Pagina Ref. No 20 014 151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