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20013919 vom 5. Dezember 1985</w:t>
      </w:r>
    </w:p>
    <w:p>
      <w:r>
        <w:t>Bundesverwaltung, 1985-12-05, DE</w:t>
      </w:r>
    </w:p>
    <w:p>
      <w:r>
        <w:rPr>
          <w:b/>
        </w:rPr>
        <w:t xml:space="preserve">Quelle: </w:t>
      </w:r>
      <w:r>
        <w:t>https://mcp.opencaselaw.ch/entscheid/ch_vb__td_class__metadataCell__20013919__td_</w:t>
      </w:r>
    </w:p>
    <w:p>
      <w:r>
        <w:t>FR: CH_VB 20013919 du 5 décembre 1985</w:t>
      </w:r>
    </w:p>
    <w:p>
      <w:r>
        <w:t>IT: CH_VB 20013919 del 5 dicembre 1985</w:t>
      </w:r>
    </w:p>
    <w:p>
      <w:pPr>
        <w:pStyle w:val="Heading2"/>
      </w:pPr>
      <w:r>
        <w:t>Erwägungen</w:t>
      </w:r>
    </w:p>
    <w:p>
      <w:r>
        <w:rPr>
          <w:b/>
        </w:rPr>
        <w:t>E. 5</w:t>
      </w:r>
    </w:p>
    <w:p>
      <w:r>
        <w:t>décembre 1985 auf noch zusätzliche Straffung durchaus diskutiert werden können. Im Forschungs- und Hochschulbereich, das wissen wir, ist die ETH Bundessache. Diese Strukturen werden in enger Zusammenarbeit mit Schulrat, mit Leitung der ETH, vor allem aber durch den Bundesrat, überprüft und dort, wo notwendig, gestrafft. Sie kennen den Hayek-Bericht, Sie kennen den Bericht des Wissenschaftsrates, und ich habe mit Interesse von ihrer Zielsetzung Kenntnis genommen. Bei den kantonalen Hochschulen gilt ein Gleiches, nur ist dort die Rechtslage anders, indem die Kantone in erster Linie zu handeln haben. Dass wir via Hochschulförderungs- gesetz Koordinationen sicherstellen können und müssen, ist Ihre und meine Auffassung. Die entsprechenden Revisionen sind in Vorbereitung. Noch die Frage von Frau Robert über Mehrjahresplanung: Wir haben in meinem Bundesamt und in der Kommission eine Mehrjahresplanung 1986 bis 1991 durchgeführt, und zwar in Anlehnung an die Zielsetzung auch des Wissen- schaftsrates. Das wird in einzelnen Sektoren zu Veränderun- gen führen, zu Gewichtsverschiebungen innerhalb einzelner Fachbereiche, beispielsweise von der Mechanik zu den Mecatronics, das heisst zur Kombination von Mechanik und Elektronik, ganz im Ziele unserer, ich glaube, auch gemein- samen Beurteilung der Notwendigkeiten. Herr Giudici hat sich sodann nach seinem von uns allen so geschätzten Heimatkanton erkundigt, ob der auch in irgend- einer Weise partizipiere. Auch Tessiner Firmen wurden und werden vom Bund selbstverständlich bei Projekten mitfinan- ziert. Ein typisches Beispiel, das kürzlich Publizität erhielt: Unternehmerpreis 1985. Herr Martinelli (Schmiede Mecca- nica) finanzierte ein Projekt mit, das an der Uni Neuenburg am Institut für Materialforschung durchgeführt worden ist. Ein typisches Beispiel - ich finde das beglückend. Bereits der erste Preisträger, das mag die welschen Partner interes- sieren, Herr Rochat von Valtronic SA, war mit seiner Firma an einem mit einem ETH-lnstitut durchgeführten Projekt beteiligt. Diese Beispiele zeigen, dass die Kommission zur Förderung der wissenschaftlichen Forschung (KWF) - ich möchte ihr dafür danken - einen guten Spürsinn für neue oder in der Umbruchphase stehende Firmen hat. Sie ist nicht einfach auf Besitzstandwahrung ausgerichtet. Das entspricht dem gestern doch zu verspürenden optimisti- schen Grundzug, den Sie in die Debatte einbringen und für den ich mich bedanke, weil sehr oft das Gegenteil der Fall ist. Wir können ja nicht nur aus der Defensive leben, wir müssen nach vorne schreiten, das Gute bewahren und Neues wagen. Ich komme zum Schluss. Herr Allenspach hatte Angst, ich könnte einen Volksentscheid unterlaufen. Er drückte sich allerdings in der Fragestellung so aus, dass er mir Glauben schenkt, dass ich es niemals täte. Ich habe mich dann anschliessend gefragt: Wenn er schon so überzeugt sei von mir, weshalb er die Frage überhaupt noch stelle. Aber das bleibt sein Geheimnis. Für mich ist es selbstverständlich, dass ich Volksentscheide jederzeit respektiere. Ich gehörte sonst nicht an dieses Pult. Das ist für uns gemeinsames «Erbgut» und wird auch in den kommenden Generationen noch so bleiben. Also von Unterlaufen irgendeines Volksent- scheides keine Spur! Mit Blick auf unsere Verordnung ist der Fall abgesehen davon völlig klar. Sie können in Artikel 15 Absatz 2 lesen: Die Bundesbeiträge dürfen nicht für die Finanzierung von Risikokapital, das zur Kommerzialisierung einer Innovation notwendig ist, beansprucht werden. Das heisst zu deutsch, dass Sie höchstens die Mitfinanzierung bis zum Prototyp in diesen Zusammenhang stellen müssen. Das ist ja dann wohl auch in der Blickrichtung des verehrten Arbeitgeberverban- des für die Unternehmen sinnvoll - sonst würde ich zur dortigen Philosophie meinerseits ein paar Fragen stellen, aber nicht hier, sondern im privaten Gespräch. Mir scheint, dass Arbeitgeber und Arbeitnehmer sich hier gemeinsam für diese Vorlage einsetzen sollen, müssen. Ich bedanke mich bei Ihnen allen, die Sie diese eigene Entschlussfassung getroffen haben, und möchte Ihnen empfehlen, die Vorlage so zu verabschieden.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137 Stimmen (Einstimmigkeit) An den Bundesrat - Au Conseil fédéral #ST# 82.225 Parlamentarische Initiative Sprachliche Minderheiten Initiative parlementaire Minorités linguistiques Herr Oester unterbreitet namens der Petitions- und Gewähr- leistungskommission den folgenden schriftlichen Bericht: Am 16. Dezember 1982 reichte Nationalrat Longet in der Form des ausgearbeiteten Entwurfs (Art. 27 Geschäftsregle- ment des Nationalrates) eine parlamentarische Initiative ein. Wortlaut der Initiative Der Artikel 116 der Bundesverfassung wird wie folgt geän- dert: 1, Amtssprachen des Bundes sind das Deutsche, das Fran- zösische, das Italienische und das Rätoromanische. 2. Der Bund sorgt dafür, dass die bedrohten Sprachgemein- schaften, insbesondere ihr Gebiet, erhalten bleiben. Texte de l'initiative L'article 116 de la constitution fédérale est modifié comme suit: 1. Les langues officielles de la Confédération sont: l'alle- mand, le français, l'italien et le romanche. 2. La Confédération veille à la sauvegarde, notamment terri- toriale, des communautés linguistiques menacées. Die PGK hörte am 6. Juli 1983 den Initianten an und führte eine allgemeine Aussprache durch. Dabei ging es insbeson- dere darum abzuklären, wie hoch die mutmasslichen Kosten einer Einführung des Rätoromanischen als Amtssprache des Bundes sein würden. Die Kommission verlangte auch Auskunft darüber, welche Massnahmen der Bundesrat für Förderung und Erhaltung des Rätoromanischen bisher getroffen hat und noch zu treffen gedenkt. Am 24. August 1983 setzte die Kommission ihre Beratungen fort. Sie prüfte die Angaben des Eidg. Departementes des Innern bezüglich der ungefähren Kosten einer Einführung des Rätoromanischen als vierte Amtssprache. Trotz aller Sympathie, die sie dem Vorstoss entgegenbringt, ist die Kommission der Meinung, dass der vom Initianten vorge-</w:t>
      </w:r>
    </w:p>
    <w:p>
      <w:r>
        <w:t>Schweizerisches Bundesarchiv, Digitale Amtsdruckschriften Archives fédérales suisses, Publications officielles numérisées Archivio federale svizzero, Pubblicazioni ufficiali digitali Forschung und Entwicklung. Finanzierung 1986-1991 Recherche et développement. Financement 1986-1991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04 Séance Seduta Geschäftsnummer 85.012 Numéro d'objet Numero dell'oggetto Datum 05.12.1985 - 08:00 Date Data Seite 1949-1952 Page Pagina Ref. No 20 013 919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