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20011767 vom 22. September 1983</w:t>
      </w:r>
    </w:p>
    <w:p>
      <w:r>
        <w:t>Bundesverwaltung, 1983-09-22, DE</w:t>
      </w:r>
    </w:p>
    <w:p>
      <w:r>
        <w:rPr>
          <w:b/>
        </w:rPr>
        <w:t xml:space="preserve">Quelle: </w:t>
      </w:r>
      <w:r>
        <w:t>https://mcp.opencaselaw.ch/entscheid/ch_vb__td_class__metadataCell__20011767__td_</w:t>
      </w:r>
    </w:p>
    <w:p>
      <w:r>
        <w:t>FR: CH_VB 20011767 du 22 septembre 1983</w:t>
      </w:r>
    </w:p>
    <w:p>
      <w:r>
        <w:t>IT: CH_VB 20011767 del 22 settembre 1983</w:t>
      </w:r>
    </w:p>
    <w:p>
      <w:pPr>
        <w:pStyle w:val="Heading2"/>
      </w:pPr>
      <w:r>
        <w:t>Erwägungen</w:t>
      </w:r>
    </w:p>
    <w:p>
      <w:r>
        <w:rPr>
          <w:b/>
        </w:rPr>
        <w:t>E. 22</w:t>
      </w:r>
    </w:p>
    <w:p>
      <w:r>
        <w:t>September 1983 N 1199 Rüstungsprogramm 1983 Vergehenstatbeständen, die in Artikel 51 geregelt sind, nicht unter die Bestimmungen im Gewässerschutzgesetz gehen. Zudem sollen - wie im Gewässerschutzgesetz - die weniger gravierenden Delikte als Übertretungen und somit mit Haft oder Busse bestraft werden. Das wird in Artikel 51 a geregelt. Nun noch eine wichtige Feststellung zum Problem der Regelungsdichte bei den Strafbestimmungen: Im Strafrecht, das wissen Sie, gilt der Grundsatz «Keine Strafe ohne Gesetz». Ich verweise auf Artikel 1 des Strafgesetzbuches. Aus diesem Grund gibt es daher gar keine andere Lösung als eine detaillierte Regelung. Ich möchte mit Nachdruck darauf hinweisen, dass der Detaillierungsgrad der Strafbe- stimmungen ein wesentlicher Gradmesser für die Qualität eines Rechtsstaates ist. Nur wenn Sie genau wissen, was unter Strafe gestellt wird, hat die Strafandrohung ihre prä- ventive Wirkung; nur dann wissen die staatlichen Organe auch genau, wann sie strafrechtlich und strafprozessrecht- lich eingreifen müssen und dürfen. Wir wenden uns - ich spreche hier im Namen der einstimmigen Kommission - entschieden gegen die im Ständerat gefallenen Voten, unsere Fassung sei zu perfektionistisch. Strafbestimmun- gen können nie detailliert genug sein. Ich beantrage Ihnen daher im Namen der Kommission Festhalten. Noch eine Bemerkung zu Buchstabe d' bei Artikel 51a: Ohne die Einfügung des Buchstabens d1 bei Artikel 51a bliebe das Ablagern von Abfällen auf nicht bewilligten, d.h. sogenann- ten «wilden» Deponien straflos. Es wird jedoch nicht bereits erfasst- das ist wichtig für die spätere Interpretation -, wer eine Bananenschale auf die Strasse wirft. Es geht hier um eigentliche Deponien, die nicht bewilligt sind. Ich lege Wert auf diese Feststellung, nicht, weil Sie das nicht auch selbst hätten nachvollziehen können, sondern für die rechtsan- wendenden Behörden, die später vielleicht einmal zu sol- chen Fragen Stellung zu nehmen haben. Ich beantrage Ihnen Zustimmung gemäss unseren An- trägen. Angenommen - Adopté Art. 56 Antrag der Kommission Zustimmung zum Beschluss des Ständerates Proposition de la commission Adhérer à la décision du Conseil des Etats Angenommen - Adopté An den Ständerat - Au Conseil des Etats #ST# 83.012 Rüstungsprogramm 1983 Programme d'armement 1983 Botschaft und Beschlussentwurf vom 16. Februar 1983 (BBI l, 1113) Message et projet d'arrêté du 16 février 1983 (FF I, 1087) Antrag der Kommission Eintreten Antrag Forel Nichteintreten Proposition de la commission Entrer en matière Proposition Forel Ne pas entrer en matière Wellauer, Berichterstatter: Mit dem Rüstungsprogramm 1983 beantragt uns der Bundesrat insgesamt 16 Beschaf- fungsvorhaben für 1392 Millionen Franken. Dieses Rüstungsprogramm enthält gegenüber früheren Program- men kein eindeutiges Schwergewicht. Die Beschaffungsvor- haben verteilen sich gleichmässig auf die einzelnen Waffen- gattungen: Infanterie, Mechanisierte und Leichte Truppen, Artillerie, Flieger- und Fliegerabwehrtruppen, Genie und Festungen und Übermittlung. Bei der Beurteilung eines Rüstungsprogrammes haben wir primär von den Bedürfnissen einer optimalen Landesvertei- digung auszugehen, damit die Armee nicht nur heute, son- dern auch in Zukunft ihren Auftrag erfüllen kann. Als Beur- teilungsgrundlage sind wir deshalb auf ein langfristiges Planungsinstrument, auf einen Bezugsrahmen für die künf- tige Gestaltung der Armee, das sogenannte Armeeleitbild, angewiesen. Bis anhin galt als Bezugsrahmen das Armee- leitbild 80. Letzten Herbst hat nun das EMD in einem Bericht das neue Armeeleitbild vorgestellt. Wir stehen heute in einer Übergangsphase zu diesem neuen Bezugsrahmen. Ihre Mili- tärkommission musste sich deshalb eingehend mit der zukünftigen Gestaltung der Armee auseinandersetzen. Sie tat dies sehr ausführlich in drei Sitzungen und hat von diesem Bericht des EMD Kenntnis genommen. Sie konnte feststellen, dass an der Konzeption unserer militärischen Landesverteidigung von 1966 und am Bericht des Bundesra- tes über die Sicherheitspolitik von 1973 festgehalten wird. Danach bleibt auch in Zukunft der Auftrag der Armee unver- ändert; die Grundidee der Kampfführung, nämlich die tiefe Staffelung der Kräfte unter möglichst weitgehender Ausnüt- zung des hindernisreichen Geländes, soll beibehalten wer- den. Die Abwehr wird nach wie vor unsere Hauptkampfform bleiben; sie setzt das Zusammenwirken der einzelnen Waf- fensysteme voraus. Mit dem Rüstungsprogramm 1983 werden Beschaffungsvor- haben beantragt, die noch zur Verwirklichung des Armee- leitbildes 80 gehören, zugleich aber auch die Bedürfnisse des zukünftigen Armeeleitbildes abdecken. Dieses baut ja auf dem Bestehenden auf. Es ist nicht etwas grundsätzlich Neues. Die einzelnen Beschaffungsvorhaben waren in Ihrer Militärkommission deshalb unbestritten. Eine Ausnahme bil- dete anfänglich nur die Beschaffung eines neuen Sturmge- wehres. Mit dem Rüstungsprogramm 1983 wird angesichts der wirtschaftlichen Schwierigkeiten ein möglichst hoher Inlandanteil angestrebt. Der Inlandanteil liegt im Gesamt- durchschnitt bei 73 Prozent. Von den rund 1,4 Milliarden sollen Aufträge von rund 1 Milliarde in der Schweiz verge- ben werden. Davon entfallen rund 800 Millionen Franken auf die Privatwirtschaft und 200 Millionen Franken auf die eid- genössischen Rüstungsbetriebe. Mit diesem hohen Inland- anteil können bei der Privatwirtschaft 2000 Arbeitsplätze für eine Zeitdauer von vier bis sechs Jahren sichergestellt wer- den. Vom Rüstungsprogramm 1983 wird eine weit stärkere Beschäftigungswirksamkeit auf die Schweizer Industrie aus- gehen als von seinem unmittelbaren Vorgänger. Von seiner Zusammensetzung her stellt es vor allem eine wertvolle Stütze der Beschäftigung in der schweizerischen Maschi- nenindustrie dar. Die Beschaffungsvorhaben mit 100 Pro- zent Inlandanteil sind die Sturmgewehre, die Munition zum Schützenpanzer, die 12-cm-Minenwerfer für Festungen, die Sprachverschlüsselungszusatzgeräte und Funkstationen sowie die Tarnanzüge. Vorhaben, die zu 100 Prozent im Ausland beschafft werden müssen, sind die Startraketen für das Fliegerabwehrlenkwaffensystem Bloodhound und die neuen Kreislaufgeräte. Nun zu den einzelnen Beschaffungsvorhaben. Ein neues Sturmgewehr: Es gibt kein militärpolitisches Thema, das den Schweizer Wehrmann stärker interessiert als seine per- sönliche Waffe. Das ist auch kein Wunder, denn welches Land rüstet schon einen Zehntel seiner Bevölkerung mit einem automatischen Gewehr aus, und dies schon seit 1957! Ist es da verwunderlich, wenn im Vorfeld der Beratungen Ihrer Militärkommission in Presse und Öffentlichkeit über dieses Beschaffungsvorhaben diskutiert wird? Mit dem beantragten Kredit von 180 Millionen Franken für eine Vor-</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04 Séance Seduta Geschäftsnummer 79.072 Numéro d'objet Numero dell'oggetto Datum 22.09.1983 - 08:00 Date Data Seite 1186-1199 Page Pagina Ref. No 20 011 767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