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class="metadataCell"&gt;20011458&lt;/td&gt; vom 9. Juni 1983</w:t>
      </w:r>
    </w:p>
    <w:p>
      <w:r>
        <w:t>Bundesverwaltung, 1983-06-09, DE</w:t>
      </w:r>
    </w:p>
    <w:p>
      <w:r>
        <w:rPr>
          <w:b/>
        </w:rPr>
        <w:t xml:space="preserve">Quelle: </w:t>
      </w:r>
      <w:r>
        <w:t>https://mcp.opencaselaw.ch/entscheid/ch_vb__td_class__metadataCell__20011458__td_</w:t>
      </w:r>
    </w:p>
    <w:p>
      <w:r>
        <w:t>FR: CH_VB &lt;td class="metadataCell"&gt;20011458&lt;/td&gt; du 9 juin 1983</w:t>
      </w:r>
    </w:p>
    <w:p>
      <w:r>
        <w:t>IT: CH_VB &lt;td class="metadataCell"&gt;20011458&lt;/td&gt; del 9 giugno 1983</w:t>
      </w:r>
    </w:p>
    <w:p>
      <w:pPr>
        <w:pStyle w:val="Heading2"/>
      </w:pPr>
      <w:r>
        <w:t>Erwägungen</w:t>
      </w:r>
    </w:p>
    <w:p>
      <w:r>
        <w:rPr>
          <w:b/>
        </w:rPr>
        <w:t>E. 9</w:t>
      </w:r>
    </w:p>
    <w:p>
      <w:r>
        <w:t>juin 1983 gentum nicht blockiert werden können, auch wenn die Ehe- gatten gemäss Ehevertrag solche Verfügungen gar nicht treffen dürfen. Ich füge bei, dass es sich hier nicht um den einzigen Fall der Nichtübereinstimmung zwischen ehevertraglichen Ver- hältnissen und dem Grundbucheintrag handelt. Es braucht sich also nicht nur um den Tatbestand der allgemeinen Gütergemeinschaft zu handeln, es kann auch ein Spezialtat- bestand sein, der dazu führt, dass hier Gütergemein- schaftselemente massgebend sind. Gerade in einer Gegend wie jener von Basel, wo nach altem Recht die Gütergemeinschaft verbreitet war, ist es noch heute so, dass sehr viele Ehegatten unter dem Güterstand der Gütergemeinschaft leben, und zwar nur intern, also ohne Eintragung im Güterrechtsregister, und das hat dann eben oft auch zu Schwierigkeiten geführt. Mit der Aufhe- bung des sogenannten externen Güterstandes mit Eintra- gung des Ehevertrages ins Güterrechtsregister - weil das Güterrechtsregister liquidiert wird - werden solche Fälle der Nichtübereinstimmung zwischen dem Ehevertrag und dem Grundbucheintrag eindeutig zunehmen. Denken Sie an Fälle, wo während der Ehe ein Ehegatte eine Liegenschaft erbt und die Ehegatten vergessen, gemeinsames Eigentum ins Grundbuch einzutragen. Denken Sie an den Fall, da aus irgendwelchen anderen Gründen die Doppeleintragung unterbleibt. Dieses Problem besteht, und es wurde in der Kommission, wo ich es vorgetragen habe, von verschiede- nen Kolleginnen und Kollegen bestätigt, dass man dieses Problem lösen sollte. Aber auch damit bin ich in der Kom- mission leider nicht durchgedrungen. Ich bringe es deshalb hier wieder, um wenigstens in diesem letzten Punkt noch- mals aus den Erfahrungen der Praxis heraus einen Versuch zu machen, die Vorlage zu verbessern. Mit meinem Antrag möchte ich sicherstellen, dass die Grundbucheinträge nach Möglichkeit mit den tatsächlichen güterrechtlichen Verhältnissen der als Eigentümer eingetra- genen Personen übereinstimmen. Es geht mir um die Ver- wirklichung des Zivilrechts. Deshalb beantrage ich Ihnen nicht die Streichung von Arti- kel 665 Absatz 3, sondern eine Änderung in dem Sinne, dass die Bestimmungen dahingehend modifiziert werden, dass es einem Ehegatten allein gestattet sein soll - also ohne Zustimmung des anderen -, gestützt auf einen Ehe- vertrag, zum Grundbuchamt zu gehen und zu sagen: Bitte bringt die Grundbucheinträge in Übereinstimmung mit unseren ehevertraglichen Abmachungen. Sonst muss ich Sie schon fragen: Was hat es für einen Sinn, einen Ehever- trag abzuschliessen, wenn man diese Rechte dann nicht wenigstens in diesem Sinne geltend machen kann? Bisher war es Sache der zuständigen Ämter, von Amtes wegen die Eintragungen aufgrund des Güterrechtsregisters vorzuneh- men. Da dieses abgeschafft wird, bleibt nur noch der Weg offen, den ich Ihnen hier empfehle. Es muss - ich betone das -, es muss genügen, dass ein Ehegatte allein diesen Antrag stellen kann. Natürlich sollte sich das Grundbuch- amt an sich von Amtes wegen mit der Frage beschäftigen, unter welchem Güterstand die Parteien leben, wenn es um Eintragungen im Grundbuch geht. Aber wir wissen, dass es die Grundbuchämter schon bisher selten gemacht haben, und das wird in Zukunft leider auch nicht ändern. So bleibt nur der Weg offen, dass man wenigstens den Ehegatten einen entsprechenden Weg öffnet, indem sie den Antrag stellen können. Schon im Blickwinkel auf die Schaffung einer Differenz zum Ständerat bitte ich Sie, nun hier dieser Korrektur, die ich Ihnen beantragt habe, zuzustimmen im Sinne der Verwirkli- chung des materiellen Ehegüterrechts. Gerwig, Berichterstatter: Herr Aider hat einleitend zugesi- chert, dass das sein letzter Antrag zum Eherecht sei. Das stimmt uns natürlich so mild, dass wir schon eigentlich des- halb - aber nicht nur deshalb, natürlich - diesem Antrag zustimmen. Ich stimme ihm zu, obwohl die Kommission das Anliegen nicht behandelt hat, weil seine Begründung wie auch seine Praxisbeispiele wohl richtig sind. Es ist eine Analogie zum Erbrecht hier möglich. Ich glaube, dass wir diesen Antrag übernehmen können. Wahrscheinlich sind dann im Rahmen des Differenzbereinigungsverfahrens noch einige Präzisierungen des Ständerates nötig. Aber damit ist Herr Aider ja einverstanden. Ich glaube, dass es richtig ist, dass diesem berechtigten Anliegen Rechnung getragen wird. Präsident: Herr Petitpierre verzichtet auf das Wort. Herr Bundesrat Friedrich ist mit den Ausführungen des Kommis- sionspräsidenten einverstanden. Wird ein anderer Antrag gestellt? - Das ist nicht der Fall. Der Antrag ist angenom- men. Angenommen gemäss Antrag Aider Adopté selon la proposition Aider Art. 747 Antrag der Kommission Zustimmung zum Beschluss des Ständerates Proposition de la commission Adhérer à la décision du Conseil des Etats Angenommen - Adopté Hier wird die Beratung dieses Geschäftes unterbrochen Le débat sur cet objet est interrompu Mitteilung - Communication Präsident: Heute verabschieden wir uns von unserem Kol- legen Gilbert Baechtold, der seine Demission eingereicht hat. Gilbert Baechtold ist am 27. Februar 1967 in unseren Rat gekommen. Von Beruf Advokat, hat er sich durch grosse geistige Unabhängigkeit ausgezeichnet und ist immer-als feuriger Kämpfer aufgestanden, wenn ihm die persönlichen Freiheiten bedroht schienen. Als Mann, der gerne und viel reist, hat er sich besonders für unsere Aussenpolitik inter- essiert. Zudem hat er sich sehr dafür eingesetzt, dass die Kultur der französisch- und der italienischsprachigen Schweiz in der Bundesverwaltung einen besseren Platz erhält. Wir danken ihm für seine Mitwirkung an den Arbeiten unse- res Rates und wünschen ihm für die Zukunft alles Gute. (Beifall) Schluss der Sitzung um 12.15 Uhr La séance est levée à 12 h 15</w:t>
      </w:r>
    </w:p>
    <w:p>
      <w:r>
        <w:t>Schweizerisches Bundesarchiv, Digitale Amtsdruckschriften Archives fédérales suisses, Publications officielles numérisées Archivio federale svizzero, Pubblicazioni ufficiali digitali ZGB. Ehewirkungen und Güterrecht Code civil. Effets du mariage et régime matrimonial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04 Séance Seduta Geschäftsnummer 79.043 Numéro d'objet Numero dell'oggetto Datum 09.06.1983 - 08:00 Date Data Seite 662-693 Page Pagina Ref. No 20 011 458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